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29F" w14:textId="1EAF0A74" w:rsidR="0099076D" w:rsidRPr="00C36DBA" w:rsidRDefault="000D2F91" w:rsidP="00C36DBA">
      <w:pPr>
        <w:pStyle w:val="Title"/>
        <w:spacing w:before="120"/>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Pr>
          <w:rFonts w:cs="Arial"/>
        </w:rPr>
        <w:t>Security of Paymen</w:t>
      </w:r>
      <w:r w:rsidR="00F63248">
        <w:rPr>
          <w:rFonts w:cs="Arial"/>
        </w:rPr>
        <w:t>t</w:t>
      </w:r>
    </w:p>
    <w:p w14:paraId="544100E9" w14:textId="365C9EEA" w:rsidR="00F63248" w:rsidRPr="00F63248" w:rsidRDefault="00F63248" w:rsidP="00F63248">
      <w:pPr>
        <w:sectPr w:rsidR="00F63248" w:rsidRPr="00F63248" w:rsidSect="0009423B">
          <w:type w:val="continuous"/>
          <w:pgSz w:w="11906" w:h="16838"/>
          <w:pgMar w:top="1985" w:right="1021" w:bottom="1134" w:left="1021" w:header="709" w:footer="454" w:gutter="0"/>
          <w:cols w:space="708"/>
          <w:titlePg/>
          <w:docGrid w:linePitch="360"/>
        </w:sectPr>
      </w:pPr>
    </w:p>
    <w:p w14:paraId="30BFAEC0" w14:textId="4F142953" w:rsidR="004B791A" w:rsidRPr="0063241B" w:rsidRDefault="00902320" w:rsidP="0063241B">
      <w:pPr>
        <w:spacing w:after="120"/>
        <w:rPr>
          <w:rFonts w:asciiTheme="majorHAnsi" w:hAnsiTheme="majorHAnsi" w:cstheme="majorHAnsi"/>
          <w:b/>
          <w:bCs/>
        </w:rPr>
      </w:pPr>
      <w:r>
        <w:rPr>
          <w:rFonts w:asciiTheme="majorHAnsi" w:hAnsiTheme="majorHAnsi" w:cstheme="majorHAnsi"/>
          <w:b/>
          <w:bCs/>
        </w:rPr>
        <w:t>What is Security of Payment?</w:t>
      </w:r>
    </w:p>
    <w:p w14:paraId="3372FF60" w14:textId="4A8D4277" w:rsidR="00C33E6A" w:rsidRDefault="00902320" w:rsidP="0063241B">
      <w:pPr>
        <w:spacing w:after="120"/>
        <w:rPr>
          <w:rFonts w:asciiTheme="majorHAnsi" w:hAnsiTheme="majorHAnsi" w:cstheme="majorHAnsi"/>
        </w:rPr>
      </w:pPr>
      <w:r>
        <w:rPr>
          <w:rFonts w:asciiTheme="majorHAnsi" w:hAnsiTheme="majorHAnsi" w:cstheme="majorHAnsi"/>
        </w:rPr>
        <w:t>Security of Payment is a process designed to provide a fast and inexpensive way to recover payments due under a construction contract, without the need for lawyers to become involved.</w:t>
      </w:r>
    </w:p>
    <w:p w14:paraId="283BB7AF" w14:textId="75DF246E" w:rsidR="00902320" w:rsidRDefault="00902320" w:rsidP="0063241B">
      <w:pPr>
        <w:spacing w:after="120"/>
        <w:rPr>
          <w:rFonts w:asciiTheme="majorHAnsi" w:hAnsiTheme="majorHAnsi" w:cstheme="majorHAnsi"/>
        </w:rPr>
      </w:pPr>
      <w:r>
        <w:rPr>
          <w:rFonts w:asciiTheme="majorHAnsi" w:hAnsiTheme="majorHAnsi" w:cstheme="majorHAnsi"/>
        </w:rPr>
        <w:t xml:space="preserve">The Security of Payment framework is guided by the </w:t>
      </w:r>
      <w:r>
        <w:rPr>
          <w:rFonts w:asciiTheme="majorHAnsi" w:hAnsiTheme="majorHAnsi" w:cstheme="majorHAnsi"/>
          <w:i/>
          <w:iCs/>
        </w:rPr>
        <w:t>Building and Construction Industry Security of Payment Act 2002</w:t>
      </w:r>
      <w:r>
        <w:rPr>
          <w:rFonts w:asciiTheme="majorHAnsi" w:hAnsiTheme="majorHAnsi" w:cstheme="majorHAnsi"/>
        </w:rPr>
        <w:t xml:space="preserve"> (known as the S</w:t>
      </w:r>
      <w:r w:rsidR="00F70343">
        <w:rPr>
          <w:rFonts w:asciiTheme="majorHAnsi" w:hAnsiTheme="majorHAnsi" w:cstheme="majorHAnsi"/>
        </w:rPr>
        <w:t>O</w:t>
      </w:r>
      <w:r>
        <w:rPr>
          <w:rFonts w:asciiTheme="majorHAnsi" w:hAnsiTheme="majorHAnsi" w:cstheme="majorHAnsi"/>
        </w:rPr>
        <w:t>P Act).</w:t>
      </w:r>
    </w:p>
    <w:p w14:paraId="36D751F5" w14:textId="46E7F0BA" w:rsidR="00902320" w:rsidRDefault="00902320" w:rsidP="0063241B">
      <w:pPr>
        <w:spacing w:after="120"/>
        <w:rPr>
          <w:rFonts w:asciiTheme="majorHAnsi" w:hAnsiTheme="majorHAnsi" w:cstheme="majorHAnsi"/>
        </w:rPr>
      </w:pPr>
      <w:r>
        <w:rPr>
          <w:rFonts w:asciiTheme="majorHAnsi" w:hAnsiTheme="majorHAnsi" w:cstheme="majorHAnsi"/>
        </w:rPr>
        <w:t>The S</w:t>
      </w:r>
      <w:r w:rsidR="000043C7">
        <w:rPr>
          <w:rFonts w:asciiTheme="majorHAnsi" w:hAnsiTheme="majorHAnsi" w:cstheme="majorHAnsi"/>
        </w:rPr>
        <w:t>O</w:t>
      </w:r>
      <w:r>
        <w:rPr>
          <w:rFonts w:asciiTheme="majorHAnsi" w:hAnsiTheme="majorHAnsi" w:cstheme="majorHAnsi"/>
        </w:rPr>
        <w:t>P Act helps ensure that any person who carries out construction work or supplies related goods and services under a construction contract gets paid.</w:t>
      </w:r>
    </w:p>
    <w:p w14:paraId="17CED5C2" w14:textId="74EB24C7" w:rsidR="00902320" w:rsidRDefault="00902320" w:rsidP="0063241B">
      <w:pPr>
        <w:spacing w:after="120"/>
        <w:rPr>
          <w:rFonts w:asciiTheme="majorHAnsi" w:hAnsiTheme="majorHAnsi" w:cstheme="majorHAnsi"/>
        </w:rPr>
      </w:pPr>
    </w:p>
    <w:p w14:paraId="7BEED40F" w14:textId="7EBA8406" w:rsidR="00902320" w:rsidRDefault="00902320" w:rsidP="0063241B">
      <w:pPr>
        <w:spacing w:after="120"/>
        <w:rPr>
          <w:rFonts w:asciiTheme="majorHAnsi" w:hAnsiTheme="majorHAnsi" w:cstheme="majorHAnsi"/>
          <w:b/>
          <w:bCs/>
        </w:rPr>
      </w:pPr>
      <w:r>
        <w:rPr>
          <w:rFonts w:asciiTheme="majorHAnsi" w:hAnsiTheme="majorHAnsi" w:cstheme="majorHAnsi"/>
          <w:b/>
          <w:bCs/>
        </w:rPr>
        <w:t>What role does the VBA have in operating the S</w:t>
      </w:r>
      <w:r w:rsidR="00F70343">
        <w:rPr>
          <w:rFonts w:asciiTheme="majorHAnsi" w:hAnsiTheme="majorHAnsi" w:cstheme="majorHAnsi"/>
          <w:b/>
          <w:bCs/>
        </w:rPr>
        <w:t>O</w:t>
      </w:r>
      <w:r>
        <w:rPr>
          <w:rFonts w:asciiTheme="majorHAnsi" w:hAnsiTheme="majorHAnsi" w:cstheme="majorHAnsi"/>
          <w:b/>
          <w:bCs/>
        </w:rPr>
        <w:t xml:space="preserve">P Act? </w:t>
      </w:r>
    </w:p>
    <w:p w14:paraId="38F9FB8C" w14:textId="7AD5EE8E" w:rsidR="00902320" w:rsidRDefault="00902320" w:rsidP="0063241B">
      <w:pPr>
        <w:spacing w:after="120"/>
        <w:rPr>
          <w:rFonts w:asciiTheme="majorHAnsi" w:hAnsiTheme="majorHAnsi" w:cstheme="majorHAnsi"/>
        </w:rPr>
      </w:pPr>
      <w:r>
        <w:rPr>
          <w:rFonts w:asciiTheme="majorHAnsi" w:hAnsiTheme="majorHAnsi" w:cstheme="majorHAnsi"/>
        </w:rPr>
        <w:t>The VBA monitors the operation of the S</w:t>
      </w:r>
      <w:r w:rsidR="00F70343">
        <w:rPr>
          <w:rFonts w:asciiTheme="majorHAnsi" w:hAnsiTheme="majorHAnsi" w:cstheme="majorHAnsi"/>
        </w:rPr>
        <w:t>O</w:t>
      </w:r>
      <w:r>
        <w:rPr>
          <w:rFonts w:asciiTheme="majorHAnsi" w:hAnsiTheme="majorHAnsi" w:cstheme="majorHAnsi"/>
        </w:rPr>
        <w:t>P Act.</w:t>
      </w:r>
    </w:p>
    <w:p w14:paraId="567C0111" w14:textId="32CB30A5" w:rsidR="00902320" w:rsidRDefault="00902320" w:rsidP="0063241B">
      <w:pPr>
        <w:spacing w:after="120"/>
        <w:rPr>
          <w:rFonts w:asciiTheme="majorHAnsi" w:hAnsiTheme="majorHAnsi" w:cstheme="majorHAnsi"/>
        </w:rPr>
      </w:pPr>
      <w:r>
        <w:rPr>
          <w:rFonts w:asciiTheme="majorHAnsi" w:hAnsiTheme="majorHAnsi" w:cstheme="majorHAnsi"/>
        </w:rPr>
        <w:t xml:space="preserve">It does not nominate adjudicators or take part in payment disputes. This is the role of </w:t>
      </w:r>
      <w:hyperlink r:id="rId15" w:history="1">
        <w:r w:rsidRPr="00F70343">
          <w:rPr>
            <w:rStyle w:val="Hyperlink"/>
            <w:rFonts w:asciiTheme="majorHAnsi" w:hAnsiTheme="majorHAnsi" w:cstheme="majorHAnsi"/>
          </w:rPr>
          <w:t>Authorised Nominating Authorities (ANAs)</w:t>
        </w:r>
      </w:hyperlink>
      <w:r>
        <w:rPr>
          <w:rFonts w:asciiTheme="majorHAnsi" w:hAnsiTheme="majorHAnsi" w:cstheme="majorHAnsi"/>
        </w:rPr>
        <w:t>, who are authorised by the VBA to perform this service.</w:t>
      </w:r>
    </w:p>
    <w:p w14:paraId="337FA333" w14:textId="3815E80F" w:rsidR="00902320" w:rsidRDefault="00902320" w:rsidP="0063241B">
      <w:pPr>
        <w:spacing w:after="120"/>
        <w:rPr>
          <w:rFonts w:asciiTheme="majorHAnsi" w:hAnsiTheme="majorHAnsi" w:cstheme="majorHAnsi"/>
        </w:rPr>
      </w:pPr>
    </w:p>
    <w:p w14:paraId="3B74512E" w14:textId="5467DE94" w:rsidR="00F70343" w:rsidRDefault="00F70343" w:rsidP="0063241B">
      <w:pPr>
        <w:spacing w:after="120"/>
        <w:rPr>
          <w:rFonts w:asciiTheme="majorHAnsi" w:hAnsiTheme="majorHAnsi" w:cstheme="majorHAnsi"/>
          <w:b/>
          <w:bCs/>
        </w:rPr>
      </w:pPr>
      <w:r>
        <w:rPr>
          <w:rFonts w:asciiTheme="majorHAnsi" w:hAnsiTheme="majorHAnsi" w:cstheme="majorHAnsi"/>
          <w:b/>
          <w:bCs/>
        </w:rPr>
        <w:t>What type of contracts does the SOP Act cover?</w:t>
      </w:r>
    </w:p>
    <w:p w14:paraId="2FD2AC1B" w14:textId="4A7D4407" w:rsidR="00F70343" w:rsidRDefault="00F70343" w:rsidP="0063241B">
      <w:pPr>
        <w:spacing w:after="120"/>
        <w:rPr>
          <w:rFonts w:asciiTheme="majorHAnsi" w:hAnsiTheme="majorHAnsi" w:cstheme="majorHAnsi"/>
        </w:rPr>
      </w:pPr>
      <w:r>
        <w:rPr>
          <w:rFonts w:asciiTheme="majorHAnsi" w:hAnsiTheme="majorHAnsi" w:cstheme="majorHAnsi"/>
        </w:rPr>
        <w:t>The SOP Act applies to most contracts for building work or for the supply of related goods and services in Victoria.</w:t>
      </w:r>
    </w:p>
    <w:p w14:paraId="42A78D0B" w14:textId="2D048A65" w:rsidR="00F70343" w:rsidRDefault="00F70343" w:rsidP="0063241B">
      <w:pPr>
        <w:spacing w:after="120"/>
        <w:rPr>
          <w:rFonts w:asciiTheme="majorHAnsi" w:hAnsiTheme="majorHAnsi" w:cstheme="majorHAnsi"/>
        </w:rPr>
      </w:pPr>
      <w:r>
        <w:rPr>
          <w:rFonts w:asciiTheme="majorHAnsi" w:hAnsiTheme="majorHAnsi" w:cstheme="majorHAnsi"/>
        </w:rPr>
        <w:t>The contract may be oral, written or a combination of both.</w:t>
      </w:r>
    </w:p>
    <w:p w14:paraId="223E03B5" w14:textId="6835602A" w:rsidR="00F70343" w:rsidRDefault="00F70343" w:rsidP="0063241B">
      <w:pPr>
        <w:spacing w:after="120"/>
        <w:rPr>
          <w:rFonts w:asciiTheme="majorHAnsi" w:hAnsiTheme="majorHAnsi" w:cstheme="majorHAnsi"/>
        </w:rPr>
      </w:pPr>
      <w:r>
        <w:rPr>
          <w:rFonts w:asciiTheme="majorHAnsi" w:hAnsiTheme="majorHAnsi" w:cstheme="majorHAnsi"/>
        </w:rPr>
        <w:t xml:space="preserve">The SOP Act applies to construction contracts </w:t>
      </w:r>
      <w:proofErr w:type="gramStart"/>
      <w:r>
        <w:rPr>
          <w:rFonts w:asciiTheme="majorHAnsi" w:hAnsiTheme="majorHAnsi" w:cstheme="majorHAnsi"/>
        </w:rPr>
        <w:t>entered into</w:t>
      </w:r>
      <w:proofErr w:type="gramEnd"/>
      <w:r>
        <w:rPr>
          <w:rFonts w:asciiTheme="majorHAnsi" w:hAnsiTheme="majorHAnsi" w:cstheme="majorHAnsi"/>
        </w:rPr>
        <w:t xml:space="preserve"> on or after 30 March 2007.</w:t>
      </w:r>
    </w:p>
    <w:p w14:paraId="62B7149B" w14:textId="3A8A5CAD" w:rsidR="00F70343" w:rsidRDefault="00F70343" w:rsidP="0063241B">
      <w:pPr>
        <w:spacing w:after="120"/>
        <w:rPr>
          <w:rFonts w:asciiTheme="majorHAnsi" w:hAnsiTheme="majorHAnsi" w:cstheme="majorHAnsi"/>
        </w:rPr>
      </w:pPr>
      <w:r>
        <w:rPr>
          <w:rFonts w:asciiTheme="majorHAnsi" w:hAnsiTheme="majorHAnsi" w:cstheme="majorHAnsi"/>
        </w:rPr>
        <w:t xml:space="preserve">For construction contracts </w:t>
      </w:r>
      <w:proofErr w:type="gramStart"/>
      <w:r>
        <w:rPr>
          <w:rFonts w:asciiTheme="majorHAnsi" w:hAnsiTheme="majorHAnsi" w:cstheme="majorHAnsi"/>
        </w:rPr>
        <w:t>entered into</w:t>
      </w:r>
      <w:proofErr w:type="gramEnd"/>
      <w:r>
        <w:rPr>
          <w:rFonts w:asciiTheme="majorHAnsi" w:hAnsiTheme="majorHAnsi" w:cstheme="majorHAnsi"/>
        </w:rPr>
        <w:t xml:space="preserve"> between 31 January 2003 and 30 March 2007, the SOP Act applies as if it had not been amended by the </w:t>
      </w:r>
      <w:r>
        <w:rPr>
          <w:rFonts w:asciiTheme="majorHAnsi" w:hAnsiTheme="majorHAnsi" w:cstheme="majorHAnsi"/>
          <w:i/>
          <w:iCs/>
        </w:rPr>
        <w:t>Building and Construction Industry Security of Payment (Amendment) Act 2006</w:t>
      </w:r>
      <w:r>
        <w:rPr>
          <w:rFonts w:asciiTheme="majorHAnsi" w:hAnsiTheme="majorHAnsi" w:cstheme="majorHAnsi"/>
        </w:rPr>
        <w:t>.</w:t>
      </w:r>
    </w:p>
    <w:p w14:paraId="69123801" w14:textId="0647BF20" w:rsidR="00F70343" w:rsidRDefault="00F70343" w:rsidP="0063241B">
      <w:pPr>
        <w:spacing w:after="120"/>
        <w:rPr>
          <w:rFonts w:asciiTheme="majorHAnsi" w:hAnsiTheme="majorHAnsi" w:cstheme="majorHAnsi"/>
        </w:rPr>
      </w:pPr>
    </w:p>
    <w:p w14:paraId="097BE10E" w14:textId="184A0D64" w:rsidR="00FF6024" w:rsidRDefault="00FF6024" w:rsidP="0063241B">
      <w:pPr>
        <w:spacing w:after="120"/>
        <w:rPr>
          <w:rFonts w:asciiTheme="majorHAnsi" w:hAnsiTheme="majorHAnsi" w:cstheme="majorHAnsi"/>
          <w:b/>
          <w:bCs/>
        </w:rPr>
      </w:pPr>
      <w:r>
        <w:rPr>
          <w:rFonts w:asciiTheme="majorHAnsi" w:hAnsiTheme="majorHAnsi" w:cstheme="majorHAnsi"/>
          <w:b/>
          <w:bCs/>
        </w:rPr>
        <w:t>What type of work is covered by the SOP Act?</w:t>
      </w:r>
    </w:p>
    <w:p w14:paraId="6BF07E88" w14:textId="050D2901" w:rsidR="00FF6024" w:rsidRDefault="00FF6024" w:rsidP="0063241B">
      <w:pPr>
        <w:spacing w:after="120"/>
        <w:rPr>
          <w:rFonts w:asciiTheme="majorHAnsi" w:hAnsiTheme="majorHAnsi" w:cstheme="majorHAnsi"/>
        </w:rPr>
      </w:pPr>
      <w:r>
        <w:rPr>
          <w:rFonts w:asciiTheme="majorHAnsi" w:hAnsiTheme="majorHAnsi" w:cstheme="majorHAnsi"/>
        </w:rPr>
        <w:t>The SOP Act applies to the following types of work:</w:t>
      </w:r>
    </w:p>
    <w:p w14:paraId="70372F8C" w14:textId="77777777" w:rsidR="00FF6024" w:rsidRDefault="00FF6024" w:rsidP="00FF6024">
      <w:pPr>
        <w:pStyle w:val="ListParagraph"/>
        <w:numPr>
          <w:ilvl w:val="0"/>
          <w:numId w:val="5"/>
        </w:numPr>
        <w:spacing w:after="120"/>
        <w:rPr>
          <w:rFonts w:asciiTheme="majorHAnsi" w:hAnsiTheme="majorHAnsi" w:cstheme="majorHAnsi"/>
        </w:rPr>
      </w:pPr>
      <w:r>
        <w:rPr>
          <w:rFonts w:asciiTheme="majorHAnsi" w:hAnsiTheme="majorHAnsi" w:cstheme="majorHAnsi"/>
        </w:rPr>
        <w:t>Residential and non-residential building</w:t>
      </w:r>
    </w:p>
    <w:p w14:paraId="1BEDF7FE" w14:textId="77777777"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t>Civil engineering</w:t>
      </w:r>
    </w:p>
    <w:p w14:paraId="31D4EF51" w14:textId="77777777"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t>Demolition</w:t>
      </w:r>
    </w:p>
    <w:p w14:paraId="70CBBDF4" w14:textId="77777777"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t>Electrical</w:t>
      </w:r>
    </w:p>
    <w:p w14:paraId="0490A719" w14:textId="77777777"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t>Professional services (</w:t>
      </w:r>
      <w:proofErr w:type="gramStart"/>
      <w:r w:rsidRPr="00FF6024">
        <w:rPr>
          <w:lang w:val="en-US"/>
        </w:rPr>
        <w:t>e.g.</w:t>
      </w:r>
      <w:proofErr w:type="gramEnd"/>
      <w:r w:rsidRPr="00FF6024">
        <w:rPr>
          <w:lang w:val="en-US"/>
        </w:rPr>
        <w:t xml:space="preserve"> architecture, design, surveying)</w:t>
      </w:r>
    </w:p>
    <w:p w14:paraId="7EDF8C28" w14:textId="77777777"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t>Hire of plant and equipmen</w:t>
      </w:r>
      <w:r>
        <w:rPr>
          <w:lang w:val="en-US"/>
        </w:rPr>
        <w:t>t</w:t>
      </w:r>
    </w:p>
    <w:p w14:paraId="3FEC3FF1" w14:textId="77777777"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t>Landscaping</w:t>
      </w:r>
    </w:p>
    <w:p w14:paraId="4503CF6E" w14:textId="77777777"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t>Maintenance</w:t>
      </w:r>
    </w:p>
    <w:p w14:paraId="706F31F5" w14:textId="77777777"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lastRenderedPageBreak/>
        <w:t>Mechanical air conditioning</w:t>
      </w:r>
    </w:p>
    <w:p w14:paraId="09433547" w14:textId="77777777"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t>Plumbing</w:t>
      </w:r>
    </w:p>
    <w:p w14:paraId="6BDAC524" w14:textId="22F417D6" w:rsidR="00FF6024" w:rsidRPr="00FF6024" w:rsidRDefault="00FF6024" w:rsidP="00FF6024">
      <w:pPr>
        <w:pStyle w:val="ListParagraph"/>
        <w:numPr>
          <w:ilvl w:val="0"/>
          <w:numId w:val="5"/>
        </w:numPr>
        <w:spacing w:after="120"/>
        <w:rPr>
          <w:rFonts w:asciiTheme="majorHAnsi" w:hAnsiTheme="majorHAnsi" w:cstheme="majorHAnsi"/>
        </w:rPr>
      </w:pPr>
      <w:r w:rsidRPr="00FF6024">
        <w:rPr>
          <w:lang w:val="en-US"/>
        </w:rPr>
        <w:t>Supply of building material</w:t>
      </w:r>
    </w:p>
    <w:p w14:paraId="68C533C7" w14:textId="725F91AC" w:rsidR="00FF6024" w:rsidRDefault="00FF6024" w:rsidP="00FF6024">
      <w:pPr>
        <w:spacing w:after="120"/>
        <w:rPr>
          <w:rFonts w:asciiTheme="majorHAnsi" w:hAnsiTheme="majorHAnsi" w:cstheme="majorHAnsi"/>
        </w:rPr>
      </w:pPr>
    </w:p>
    <w:p w14:paraId="57646C1E" w14:textId="2FA20A86" w:rsidR="00FF6024" w:rsidRDefault="00FF6024" w:rsidP="00FF6024">
      <w:pPr>
        <w:spacing w:after="120"/>
        <w:rPr>
          <w:rFonts w:asciiTheme="majorHAnsi" w:hAnsiTheme="majorHAnsi" w:cstheme="majorHAnsi"/>
          <w:b/>
          <w:bCs/>
        </w:rPr>
      </w:pPr>
      <w:r>
        <w:rPr>
          <w:rFonts w:asciiTheme="majorHAnsi" w:hAnsiTheme="majorHAnsi" w:cstheme="majorHAnsi"/>
          <w:b/>
          <w:bCs/>
        </w:rPr>
        <w:t>Are domestic building contracts between a builder or supplier and the home owner covered by the SOP Act?</w:t>
      </w:r>
    </w:p>
    <w:p w14:paraId="767A74DE" w14:textId="30828CD3" w:rsidR="00FF6024" w:rsidRDefault="00FF6024" w:rsidP="00FF6024">
      <w:pPr>
        <w:spacing w:after="120"/>
        <w:rPr>
          <w:rFonts w:asciiTheme="majorHAnsi" w:hAnsiTheme="majorHAnsi" w:cstheme="majorHAnsi"/>
        </w:rPr>
      </w:pPr>
      <w:r>
        <w:rPr>
          <w:rFonts w:asciiTheme="majorHAnsi" w:hAnsiTheme="majorHAnsi" w:cstheme="majorHAnsi"/>
        </w:rPr>
        <w:t>Domestic building contracts between a builder or supplier and the home owner are not covered by the SOP Act.</w:t>
      </w:r>
      <w:r w:rsidR="007E55A7">
        <w:rPr>
          <w:rFonts w:asciiTheme="majorHAnsi" w:hAnsiTheme="majorHAnsi" w:cstheme="majorHAnsi"/>
        </w:rPr>
        <w:t xml:space="preserve"> </w:t>
      </w:r>
      <w:r w:rsidR="00085173">
        <w:rPr>
          <w:rFonts w:asciiTheme="majorHAnsi" w:hAnsiTheme="majorHAnsi" w:cstheme="majorHAnsi"/>
        </w:rPr>
        <w:t xml:space="preserve">However, </w:t>
      </w:r>
      <w:r w:rsidR="002911A2">
        <w:rPr>
          <w:rFonts w:asciiTheme="majorHAnsi" w:hAnsiTheme="majorHAnsi" w:cstheme="majorHAnsi"/>
        </w:rPr>
        <w:t xml:space="preserve">contracts </w:t>
      </w:r>
      <w:r w:rsidR="00FF456E">
        <w:rPr>
          <w:rFonts w:asciiTheme="majorHAnsi" w:hAnsiTheme="majorHAnsi" w:cstheme="majorHAnsi"/>
        </w:rPr>
        <w:t>between a ho</w:t>
      </w:r>
      <w:r w:rsidR="007A4783">
        <w:rPr>
          <w:rFonts w:asciiTheme="majorHAnsi" w:hAnsiTheme="majorHAnsi" w:cstheme="majorHAnsi"/>
        </w:rPr>
        <w:t>m</w:t>
      </w:r>
      <w:r w:rsidR="00FF456E">
        <w:rPr>
          <w:rFonts w:asciiTheme="majorHAnsi" w:hAnsiTheme="majorHAnsi" w:cstheme="majorHAnsi"/>
        </w:rPr>
        <w:t>e owner’s building contractor and any subcontractor or supplier are covered.</w:t>
      </w:r>
    </w:p>
    <w:p w14:paraId="1B244CE1" w14:textId="5DD78D42" w:rsidR="00FF6024" w:rsidRPr="000043C7" w:rsidRDefault="00FF6024" w:rsidP="00FF6024">
      <w:pPr>
        <w:spacing w:after="120"/>
        <w:rPr>
          <w:rFonts w:asciiTheme="majorHAnsi" w:hAnsiTheme="majorHAnsi" w:cstheme="majorHAnsi"/>
        </w:rPr>
      </w:pPr>
      <w:r>
        <w:rPr>
          <w:rFonts w:asciiTheme="majorHAnsi" w:hAnsiTheme="majorHAnsi" w:cstheme="majorHAnsi"/>
        </w:rPr>
        <w:t xml:space="preserve">For domestic building contract disputes, visit Consumer Affairs Victoria: </w:t>
      </w:r>
      <w:hyperlink r:id="rId16" w:history="1">
        <w:r w:rsidRPr="00BF0A22">
          <w:rPr>
            <w:rStyle w:val="Hyperlink"/>
            <w:rFonts w:asciiTheme="majorHAnsi" w:hAnsiTheme="majorHAnsi" w:cstheme="majorHAnsi"/>
          </w:rPr>
          <w:t>https://www.consumer.vic.gov.au/housing/building-and-renovating/defects-delays-and-insolvency/disputes-defects-and-delays</w:t>
        </w:r>
      </w:hyperlink>
      <w:r>
        <w:rPr>
          <w:rFonts w:asciiTheme="majorHAnsi" w:hAnsiTheme="majorHAnsi" w:cstheme="majorHAnsi"/>
        </w:rPr>
        <w:t xml:space="preserve"> </w:t>
      </w:r>
    </w:p>
    <w:p w14:paraId="32356F33" w14:textId="46F7CD52" w:rsidR="00FF6024" w:rsidRDefault="00FF6024" w:rsidP="00FF6024">
      <w:pPr>
        <w:spacing w:after="120"/>
        <w:rPr>
          <w:rFonts w:asciiTheme="majorHAnsi" w:hAnsiTheme="majorHAnsi" w:cstheme="majorHAnsi"/>
          <w:b/>
          <w:bCs/>
        </w:rPr>
      </w:pPr>
    </w:p>
    <w:p w14:paraId="2B8C9BCE" w14:textId="1862C66E" w:rsidR="00FF6024" w:rsidRDefault="00FF6024" w:rsidP="00FF6024">
      <w:pPr>
        <w:spacing w:after="120"/>
        <w:rPr>
          <w:rFonts w:asciiTheme="majorHAnsi" w:hAnsiTheme="majorHAnsi" w:cstheme="majorHAnsi"/>
          <w:b/>
          <w:bCs/>
        </w:rPr>
      </w:pPr>
      <w:r>
        <w:rPr>
          <w:rFonts w:asciiTheme="majorHAnsi" w:hAnsiTheme="majorHAnsi" w:cstheme="majorHAnsi"/>
          <w:b/>
          <w:bCs/>
        </w:rPr>
        <w:t>How do I make a Security of Payment claim?</w:t>
      </w:r>
    </w:p>
    <w:p w14:paraId="6AFB4CB4" w14:textId="69E77DB6" w:rsidR="00FF6024" w:rsidRDefault="00FF6024" w:rsidP="00FF6024">
      <w:pPr>
        <w:spacing w:after="120"/>
        <w:rPr>
          <w:rFonts w:asciiTheme="majorHAnsi" w:hAnsiTheme="majorHAnsi" w:cstheme="majorHAnsi"/>
        </w:rPr>
      </w:pPr>
      <w:r>
        <w:rPr>
          <w:rFonts w:asciiTheme="majorHAnsi" w:hAnsiTheme="majorHAnsi" w:cstheme="majorHAnsi"/>
        </w:rPr>
        <w:t xml:space="preserve">The Security of Payment process commences with a payment claim. </w:t>
      </w:r>
    </w:p>
    <w:p w14:paraId="5F2D759D" w14:textId="310DB4EB" w:rsidR="00FF6024" w:rsidRDefault="00FF6024" w:rsidP="00FF6024">
      <w:pPr>
        <w:spacing w:after="120"/>
        <w:rPr>
          <w:rFonts w:asciiTheme="majorHAnsi" w:hAnsiTheme="majorHAnsi" w:cstheme="majorHAnsi"/>
        </w:rPr>
      </w:pPr>
      <w:r>
        <w:rPr>
          <w:rFonts w:asciiTheme="majorHAnsi" w:hAnsiTheme="majorHAnsi" w:cstheme="majorHAnsi"/>
        </w:rPr>
        <w:t xml:space="preserve">A </w:t>
      </w:r>
      <w:r w:rsidRPr="00FF6024">
        <w:rPr>
          <w:rFonts w:asciiTheme="majorHAnsi" w:hAnsiTheme="majorHAnsi" w:cstheme="majorHAnsi"/>
        </w:rPr>
        <w:t xml:space="preserve">person who has carried out work or supplied goods or services under a construction contract in Victoria </w:t>
      </w:r>
      <w:r w:rsidRPr="00FF6024">
        <w:rPr>
          <w:rFonts w:asciiTheme="majorHAnsi" w:hAnsiTheme="majorHAnsi" w:cstheme="majorHAnsi"/>
          <w:b/>
          <w:bCs/>
        </w:rPr>
        <w:t>(the claimant)</w:t>
      </w:r>
      <w:r w:rsidRPr="00FF6024">
        <w:rPr>
          <w:rFonts w:asciiTheme="majorHAnsi" w:hAnsiTheme="majorHAnsi" w:cstheme="majorHAnsi"/>
        </w:rPr>
        <w:t xml:space="preserve"> can claim progress payments by giving a ‘payment claim’ to the relevant contractor, </w:t>
      </w:r>
      <w:proofErr w:type="gramStart"/>
      <w:r w:rsidRPr="00FF6024">
        <w:rPr>
          <w:rFonts w:asciiTheme="majorHAnsi" w:hAnsiTheme="majorHAnsi" w:cstheme="majorHAnsi"/>
        </w:rPr>
        <w:t>purchaser</w:t>
      </w:r>
      <w:proofErr w:type="gramEnd"/>
      <w:r w:rsidRPr="00FF6024">
        <w:rPr>
          <w:rFonts w:asciiTheme="majorHAnsi" w:hAnsiTheme="majorHAnsi" w:cstheme="majorHAnsi"/>
        </w:rPr>
        <w:t xml:space="preserve"> or client </w:t>
      </w:r>
      <w:r w:rsidRPr="00FF6024">
        <w:rPr>
          <w:rFonts w:asciiTheme="majorHAnsi" w:hAnsiTheme="majorHAnsi" w:cstheme="majorHAnsi"/>
          <w:b/>
          <w:bCs/>
        </w:rPr>
        <w:t>(the respondent)</w:t>
      </w:r>
      <w:r>
        <w:rPr>
          <w:rFonts w:asciiTheme="majorHAnsi" w:hAnsiTheme="majorHAnsi" w:cstheme="majorHAnsi"/>
        </w:rPr>
        <w:t>.</w:t>
      </w:r>
    </w:p>
    <w:p w14:paraId="75E273B5" w14:textId="501AF253" w:rsidR="00FF6024" w:rsidRDefault="00FF6024" w:rsidP="00FF6024">
      <w:pPr>
        <w:spacing w:after="120"/>
        <w:rPr>
          <w:rFonts w:asciiTheme="majorHAnsi" w:hAnsiTheme="majorHAnsi" w:cstheme="majorHAnsi"/>
        </w:rPr>
      </w:pPr>
      <w:r>
        <w:rPr>
          <w:rFonts w:asciiTheme="majorHAnsi" w:hAnsiTheme="majorHAnsi" w:cstheme="majorHAnsi"/>
        </w:rPr>
        <w:t xml:space="preserve">A payment claim specifies the work, goods or services supplied and the amount claimed and states that it is made under the </w:t>
      </w:r>
      <w:r>
        <w:rPr>
          <w:rFonts w:asciiTheme="majorHAnsi" w:hAnsiTheme="majorHAnsi" w:cstheme="majorHAnsi"/>
          <w:i/>
          <w:iCs/>
        </w:rPr>
        <w:t>Building and Construction Industry Security of Payment Act 2002</w:t>
      </w:r>
      <w:r>
        <w:rPr>
          <w:rFonts w:asciiTheme="majorHAnsi" w:hAnsiTheme="majorHAnsi" w:cstheme="majorHAnsi"/>
        </w:rPr>
        <w:t>.</w:t>
      </w:r>
    </w:p>
    <w:p w14:paraId="34CF36FD" w14:textId="0C7D63C7" w:rsidR="00FF6024" w:rsidRDefault="00FF6024" w:rsidP="00FF6024">
      <w:pPr>
        <w:spacing w:after="120"/>
        <w:rPr>
          <w:rFonts w:asciiTheme="majorHAnsi" w:hAnsiTheme="majorHAnsi" w:cstheme="majorHAnsi"/>
        </w:rPr>
      </w:pPr>
    </w:p>
    <w:p w14:paraId="416970EE" w14:textId="4988AFFE" w:rsidR="00FF6024" w:rsidRDefault="00FF6024" w:rsidP="00FF6024">
      <w:pPr>
        <w:spacing w:after="120"/>
        <w:rPr>
          <w:rFonts w:asciiTheme="majorHAnsi" w:hAnsiTheme="majorHAnsi" w:cstheme="majorHAnsi"/>
          <w:b/>
          <w:bCs/>
        </w:rPr>
      </w:pPr>
      <w:r>
        <w:rPr>
          <w:rFonts w:asciiTheme="majorHAnsi" w:hAnsiTheme="majorHAnsi" w:cstheme="majorHAnsi"/>
          <w:b/>
          <w:bCs/>
        </w:rPr>
        <w:t>How long does the respondent have to pay or dispute my payment claim?</w:t>
      </w:r>
    </w:p>
    <w:p w14:paraId="1BD47A1E" w14:textId="202774A3" w:rsidR="00FF6024" w:rsidRDefault="00FF6024" w:rsidP="00FF6024">
      <w:pPr>
        <w:spacing w:after="120"/>
        <w:rPr>
          <w:rFonts w:asciiTheme="majorHAnsi" w:hAnsiTheme="majorHAnsi" w:cstheme="majorHAnsi"/>
        </w:rPr>
      </w:pPr>
      <w:r>
        <w:rPr>
          <w:rFonts w:asciiTheme="majorHAnsi" w:hAnsiTheme="majorHAnsi" w:cstheme="majorHAnsi"/>
        </w:rPr>
        <w:t>The respondent can pay in full or, if they dispute the amount due, give the claimant a ‘payment schedule’.</w:t>
      </w:r>
    </w:p>
    <w:p w14:paraId="24B24571" w14:textId="42A64817" w:rsidR="00FF6024" w:rsidRDefault="00FF6024" w:rsidP="00FF6024">
      <w:pPr>
        <w:spacing w:after="120"/>
        <w:rPr>
          <w:rFonts w:asciiTheme="majorHAnsi" w:hAnsiTheme="majorHAnsi" w:cstheme="majorHAnsi"/>
        </w:rPr>
      </w:pPr>
      <w:r>
        <w:rPr>
          <w:rFonts w:asciiTheme="majorHAnsi" w:hAnsiTheme="majorHAnsi" w:cstheme="majorHAnsi"/>
        </w:rPr>
        <w:t xml:space="preserve">A payment schedule states </w:t>
      </w:r>
      <w:r w:rsidR="009A2A3F">
        <w:rPr>
          <w:rFonts w:asciiTheme="majorHAnsi" w:hAnsiTheme="majorHAnsi" w:cstheme="majorHAnsi"/>
        </w:rPr>
        <w:t>how</w:t>
      </w:r>
      <w:r>
        <w:rPr>
          <w:rFonts w:asciiTheme="majorHAnsi" w:hAnsiTheme="majorHAnsi" w:cstheme="majorHAnsi"/>
        </w:rPr>
        <w:t xml:space="preserve"> much the respondent is willing to pay and why it is different from the amount claimed.</w:t>
      </w:r>
    </w:p>
    <w:p w14:paraId="182CA2CD" w14:textId="36FE49BC" w:rsidR="00FF6024" w:rsidRDefault="00FF6024" w:rsidP="00FF6024">
      <w:pPr>
        <w:spacing w:after="120"/>
        <w:rPr>
          <w:rFonts w:asciiTheme="majorHAnsi" w:hAnsiTheme="majorHAnsi" w:cstheme="majorHAnsi"/>
        </w:rPr>
      </w:pPr>
      <w:r>
        <w:rPr>
          <w:rFonts w:asciiTheme="majorHAnsi" w:hAnsiTheme="majorHAnsi" w:cstheme="majorHAnsi"/>
        </w:rPr>
        <w:t>A respondent who fails to provide a payment schedule within 10 business days or as required by the contract – whichever is earlier – is liable to pay the full amount claimed.</w:t>
      </w:r>
    </w:p>
    <w:p w14:paraId="11A0F923" w14:textId="77777777" w:rsidR="00DE3082" w:rsidRDefault="00DE3082" w:rsidP="00FF6024">
      <w:pPr>
        <w:spacing w:after="120"/>
        <w:rPr>
          <w:rFonts w:asciiTheme="majorHAnsi" w:hAnsiTheme="majorHAnsi" w:cstheme="majorHAnsi"/>
        </w:rPr>
      </w:pPr>
    </w:p>
    <w:p w14:paraId="32E2759C" w14:textId="3F4ECE28" w:rsidR="00DE3082" w:rsidRPr="00EC1CD9" w:rsidRDefault="00EC1CD9" w:rsidP="00FF6024">
      <w:pPr>
        <w:spacing w:after="120"/>
        <w:rPr>
          <w:rFonts w:asciiTheme="majorHAnsi" w:hAnsiTheme="majorHAnsi" w:cstheme="majorHAnsi"/>
          <w:b/>
          <w:bCs/>
        </w:rPr>
      </w:pPr>
      <w:r w:rsidRPr="00EC1CD9">
        <w:rPr>
          <w:rFonts w:asciiTheme="majorHAnsi" w:hAnsiTheme="majorHAnsi" w:cstheme="majorHAnsi"/>
          <w:b/>
          <w:bCs/>
        </w:rPr>
        <w:t>Do I have to use a particular form?</w:t>
      </w:r>
    </w:p>
    <w:p w14:paraId="50B642B8" w14:textId="77777777" w:rsidR="00183C4F" w:rsidRDefault="000908BC" w:rsidP="000908BC">
      <w:pPr>
        <w:spacing w:after="120"/>
        <w:rPr>
          <w:rFonts w:asciiTheme="majorHAnsi" w:hAnsiTheme="majorHAnsi" w:cstheme="majorHAnsi"/>
        </w:rPr>
      </w:pPr>
      <w:r w:rsidRPr="000950D6">
        <w:rPr>
          <w:rFonts w:asciiTheme="majorHAnsi" w:hAnsiTheme="majorHAnsi" w:cstheme="majorHAnsi"/>
        </w:rPr>
        <w:t>The SOP Act does not require you to use a</w:t>
      </w:r>
      <w:r>
        <w:rPr>
          <w:rFonts w:asciiTheme="majorHAnsi" w:hAnsiTheme="majorHAnsi" w:cstheme="majorHAnsi"/>
        </w:rPr>
        <w:t xml:space="preserve"> </w:t>
      </w:r>
      <w:r w:rsidRPr="000950D6">
        <w:rPr>
          <w:rFonts w:asciiTheme="majorHAnsi" w:hAnsiTheme="majorHAnsi" w:cstheme="majorHAnsi"/>
        </w:rPr>
        <w:t>particular form</w:t>
      </w:r>
      <w:r>
        <w:rPr>
          <w:rFonts w:asciiTheme="majorHAnsi" w:hAnsiTheme="majorHAnsi" w:cstheme="majorHAnsi"/>
        </w:rPr>
        <w:t>.</w:t>
      </w:r>
    </w:p>
    <w:p w14:paraId="472485CE" w14:textId="77777777" w:rsidR="00AD013A" w:rsidRDefault="008B05D1" w:rsidP="003215FB">
      <w:pPr>
        <w:spacing w:after="120"/>
        <w:rPr>
          <w:rFonts w:asciiTheme="majorHAnsi" w:hAnsiTheme="majorHAnsi" w:cstheme="majorHAnsi"/>
        </w:rPr>
      </w:pPr>
      <w:r>
        <w:rPr>
          <w:rFonts w:asciiTheme="majorHAnsi" w:hAnsiTheme="majorHAnsi" w:cstheme="majorHAnsi"/>
        </w:rPr>
        <w:t>However, t</w:t>
      </w:r>
      <w:r w:rsidR="000908BC">
        <w:rPr>
          <w:rFonts w:asciiTheme="majorHAnsi" w:hAnsiTheme="majorHAnsi" w:cstheme="majorHAnsi"/>
        </w:rPr>
        <w:t xml:space="preserve">he VBA’s website includes </w:t>
      </w:r>
      <w:r w:rsidR="000908BC" w:rsidRPr="000950D6">
        <w:rPr>
          <w:rFonts w:asciiTheme="majorHAnsi" w:hAnsiTheme="majorHAnsi" w:cstheme="majorHAnsi"/>
        </w:rPr>
        <w:t xml:space="preserve">sample forms </w:t>
      </w:r>
      <w:r w:rsidR="00A169F7">
        <w:rPr>
          <w:rFonts w:asciiTheme="majorHAnsi" w:hAnsiTheme="majorHAnsi" w:cstheme="majorHAnsi"/>
        </w:rPr>
        <w:t xml:space="preserve">that </w:t>
      </w:r>
      <w:r w:rsidR="00AD013A">
        <w:rPr>
          <w:rFonts w:asciiTheme="majorHAnsi" w:hAnsiTheme="majorHAnsi" w:cstheme="majorHAnsi"/>
        </w:rPr>
        <w:t>provide additional</w:t>
      </w:r>
      <w:r w:rsidR="00A169F7">
        <w:rPr>
          <w:rFonts w:asciiTheme="majorHAnsi" w:hAnsiTheme="majorHAnsi" w:cstheme="majorHAnsi"/>
        </w:rPr>
        <w:t xml:space="preserve"> information about </w:t>
      </w:r>
      <w:r w:rsidR="00A169F7" w:rsidRPr="000950D6">
        <w:rPr>
          <w:rFonts w:asciiTheme="majorHAnsi" w:hAnsiTheme="majorHAnsi" w:cstheme="majorHAnsi"/>
        </w:rPr>
        <w:t>the process</w:t>
      </w:r>
      <w:r w:rsidR="003215FB">
        <w:rPr>
          <w:rFonts w:asciiTheme="majorHAnsi" w:hAnsiTheme="majorHAnsi" w:cstheme="majorHAnsi"/>
        </w:rPr>
        <w:t>,</w:t>
      </w:r>
      <w:r w:rsidR="00A169F7" w:rsidRPr="000950D6">
        <w:rPr>
          <w:rFonts w:asciiTheme="majorHAnsi" w:hAnsiTheme="majorHAnsi" w:cstheme="majorHAnsi"/>
        </w:rPr>
        <w:t xml:space="preserve"> content requirements and the related timelines</w:t>
      </w:r>
      <w:r w:rsidR="003215FB">
        <w:rPr>
          <w:rFonts w:asciiTheme="majorHAnsi" w:hAnsiTheme="majorHAnsi" w:cstheme="majorHAnsi"/>
        </w:rPr>
        <w:t>.</w:t>
      </w:r>
    </w:p>
    <w:p w14:paraId="332042D2" w14:textId="3996825C" w:rsidR="000908BC" w:rsidRDefault="003215FB" w:rsidP="003215FB">
      <w:pPr>
        <w:spacing w:after="120"/>
        <w:rPr>
          <w:rFonts w:asciiTheme="majorHAnsi" w:hAnsiTheme="majorHAnsi" w:cstheme="majorHAnsi"/>
        </w:rPr>
      </w:pPr>
      <w:r>
        <w:rPr>
          <w:rFonts w:asciiTheme="majorHAnsi" w:hAnsiTheme="majorHAnsi" w:cstheme="majorHAnsi"/>
        </w:rPr>
        <w:t xml:space="preserve">The sample forms </w:t>
      </w:r>
      <w:r w:rsidR="000908BC" w:rsidRPr="000950D6">
        <w:rPr>
          <w:rFonts w:asciiTheme="majorHAnsi" w:hAnsiTheme="majorHAnsi" w:cstheme="majorHAnsi"/>
        </w:rPr>
        <w:t xml:space="preserve">can be adapted for your purposes and can be used to help you prepare and manage </w:t>
      </w:r>
      <w:r w:rsidR="00066214">
        <w:rPr>
          <w:rFonts w:asciiTheme="majorHAnsi" w:hAnsiTheme="majorHAnsi" w:cstheme="majorHAnsi"/>
        </w:rPr>
        <w:t>the process</w:t>
      </w:r>
      <w:r w:rsidR="00661E39">
        <w:rPr>
          <w:rFonts w:asciiTheme="majorHAnsi" w:hAnsiTheme="majorHAnsi" w:cstheme="majorHAnsi"/>
        </w:rPr>
        <w:t>es under the SOP Act</w:t>
      </w:r>
      <w:r w:rsidR="00922F57">
        <w:rPr>
          <w:rFonts w:asciiTheme="majorHAnsi" w:hAnsiTheme="majorHAnsi" w:cstheme="majorHAnsi"/>
        </w:rPr>
        <w:t>.</w:t>
      </w:r>
    </w:p>
    <w:p w14:paraId="026D347A" w14:textId="33CA7A33" w:rsidR="00E95B52" w:rsidRDefault="00E95B52" w:rsidP="000950D6">
      <w:pPr>
        <w:spacing w:after="120"/>
        <w:rPr>
          <w:rFonts w:asciiTheme="majorHAnsi" w:hAnsiTheme="majorHAnsi" w:cstheme="majorHAnsi"/>
        </w:rPr>
      </w:pPr>
      <w:r>
        <w:rPr>
          <w:rFonts w:asciiTheme="majorHAnsi" w:hAnsiTheme="majorHAnsi" w:cstheme="majorHAnsi"/>
        </w:rPr>
        <w:t>The following sample forms are available on the VBA’s website:</w:t>
      </w:r>
    </w:p>
    <w:p w14:paraId="1C61070C" w14:textId="1AEF17A4" w:rsidR="00E95B52" w:rsidRPr="00597855" w:rsidRDefault="00E95B52" w:rsidP="00E95B52">
      <w:pPr>
        <w:pStyle w:val="ListParagraph"/>
        <w:numPr>
          <w:ilvl w:val="0"/>
          <w:numId w:val="8"/>
        </w:numPr>
        <w:spacing w:after="120"/>
        <w:rPr>
          <w:rStyle w:val="Hyperlink"/>
          <w:rFonts w:asciiTheme="majorHAnsi" w:hAnsiTheme="majorHAnsi" w:cstheme="majorHAnsi"/>
        </w:rPr>
      </w:pPr>
      <w:r>
        <w:rPr>
          <w:rFonts w:asciiTheme="majorHAnsi" w:hAnsiTheme="majorHAnsi" w:cstheme="majorHAnsi"/>
        </w:rPr>
        <w:t xml:space="preserve">Sample Form - </w:t>
      </w:r>
      <w:r w:rsidR="00597855">
        <w:rPr>
          <w:rFonts w:asciiTheme="majorHAnsi" w:hAnsiTheme="majorHAnsi" w:cstheme="majorHAnsi"/>
        </w:rPr>
        <w:fldChar w:fldCharType="begin"/>
      </w:r>
      <w:r w:rsidR="00597855">
        <w:rPr>
          <w:rFonts w:asciiTheme="majorHAnsi" w:hAnsiTheme="majorHAnsi" w:cstheme="majorHAnsi"/>
        </w:rPr>
        <w:instrText xml:space="preserve"> HYPERLINK "https://www.vba.vic.gov.au/__data/assets/pdf_file/0009/98640/SOP-Sample-Form-Payment-Claim.pdf" </w:instrText>
      </w:r>
      <w:r w:rsidR="00597855">
        <w:rPr>
          <w:rFonts w:asciiTheme="majorHAnsi" w:hAnsiTheme="majorHAnsi" w:cstheme="majorHAnsi"/>
        </w:rPr>
      </w:r>
      <w:r w:rsidR="00597855">
        <w:rPr>
          <w:rFonts w:asciiTheme="majorHAnsi" w:hAnsiTheme="majorHAnsi" w:cstheme="majorHAnsi"/>
        </w:rPr>
        <w:fldChar w:fldCharType="separate"/>
      </w:r>
      <w:r w:rsidR="000950D6" w:rsidRPr="00597855">
        <w:rPr>
          <w:rStyle w:val="Hyperlink"/>
          <w:rFonts w:asciiTheme="majorHAnsi" w:hAnsiTheme="majorHAnsi" w:cstheme="majorHAnsi"/>
        </w:rPr>
        <w:t>Payment Claim</w:t>
      </w:r>
    </w:p>
    <w:p w14:paraId="29327C21" w14:textId="14EC1B25" w:rsidR="000950D6" w:rsidRPr="00597855" w:rsidRDefault="00597855" w:rsidP="00E95B52">
      <w:pPr>
        <w:pStyle w:val="ListParagraph"/>
        <w:numPr>
          <w:ilvl w:val="0"/>
          <w:numId w:val="8"/>
        </w:numPr>
        <w:spacing w:after="120"/>
        <w:rPr>
          <w:rStyle w:val="Hyperlink"/>
          <w:rFonts w:asciiTheme="majorHAnsi" w:hAnsiTheme="majorHAnsi" w:cstheme="majorHAnsi"/>
        </w:rPr>
      </w:pPr>
      <w:r>
        <w:rPr>
          <w:rFonts w:asciiTheme="majorHAnsi" w:hAnsiTheme="majorHAnsi" w:cstheme="majorHAnsi"/>
        </w:rPr>
        <w:fldChar w:fldCharType="end"/>
      </w:r>
      <w:r>
        <w:rPr>
          <w:rFonts w:asciiTheme="majorHAnsi" w:hAnsiTheme="majorHAnsi" w:cstheme="majorHAnsi"/>
        </w:rPr>
        <w:fldChar w:fldCharType="begin"/>
      </w:r>
      <w:r>
        <w:rPr>
          <w:rFonts w:asciiTheme="majorHAnsi" w:hAnsiTheme="majorHAnsi" w:cstheme="majorHAnsi"/>
        </w:rPr>
        <w:instrText>HYPERLINK "https://www.vba.vic.gov.au/__data/assets/pdf_file/0008/98639/Sample-Form-Section-182-Notice.pdf"</w:instrText>
      </w:r>
      <w:r>
        <w:rPr>
          <w:rFonts w:asciiTheme="majorHAnsi" w:hAnsiTheme="majorHAnsi" w:cstheme="majorHAnsi"/>
        </w:rPr>
      </w:r>
      <w:r>
        <w:rPr>
          <w:rFonts w:asciiTheme="majorHAnsi" w:hAnsiTheme="majorHAnsi" w:cstheme="majorHAnsi"/>
        </w:rPr>
        <w:fldChar w:fldCharType="separate"/>
      </w:r>
      <w:r w:rsidR="000950D6" w:rsidRPr="00597855">
        <w:rPr>
          <w:rStyle w:val="Hyperlink"/>
          <w:rFonts w:asciiTheme="majorHAnsi" w:hAnsiTheme="majorHAnsi" w:cstheme="majorHAnsi"/>
        </w:rPr>
        <w:t xml:space="preserve">Section 18(2) Notice of intention to apply for </w:t>
      </w:r>
      <w:proofErr w:type="gramStart"/>
      <w:r w:rsidR="000950D6" w:rsidRPr="00597855">
        <w:rPr>
          <w:rStyle w:val="Hyperlink"/>
          <w:rFonts w:asciiTheme="majorHAnsi" w:hAnsiTheme="majorHAnsi" w:cstheme="majorHAnsi"/>
        </w:rPr>
        <w:t>adjudication</w:t>
      </w:r>
      <w:proofErr w:type="gramEnd"/>
    </w:p>
    <w:proofErr w:type="gramStart"/>
    <w:p w14:paraId="312CE4CD" w14:textId="292DB554" w:rsidR="00316553" w:rsidRDefault="00597855" w:rsidP="00E95B52">
      <w:pPr>
        <w:pStyle w:val="ListParagraph"/>
        <w:numPr>
          <w:ilvl w:val="0"/>
          <w:numId w:val="8"/>
        </w:numPr>
        <w:spacing w:after="120"/>
        <w:rPr>
          <w:rFonts w:asciiTheme="majorHAnsi" w:hAnsiTheme="majorHAnsi" w:cstheme="majorHAnsi"/>
        </w:rPr>
      </w:pPr>
      <w:r>
        <w:rPr>
          <w:rFonts w:asciiTheme="majorHAnsi" w:hAnsiTheme="majorHAnsi" w:cstheme="majorHAnsi"/>
        </w:rPr>
        <w:fldChar w:fldCharType="end"/>
      </w:r>
      <w:hyperlink r:id="rId17" w:history="1">
        <w:r w:rsidR="00316553" w:rsidRPr="00087E66">
          <w:rPr>
            <w:rStyle w:val="Hyperlink"/>
            <w:rFonts w:asciiTheme="majorHAnsi" w:hAnsiTheme="majorHAnsi" w:cstheme="majorHAnsi"/>
          </w:rPr>
          <w:t>Payment Schedule</w:t>
        </w:r>
      </w:hyperlink>
      <w:proofErr w:type="gramEnd"/>
    </w:p>
    <w:p w14:paraId="1E4558F3" w14:textId="2D7F38E8" w:rsidR="00E95B52" w:rsidRDefault="00000000" w:rsidP="00E95B52">
      <w:pPr>
        <w:pStyle w:val="ListParagraph"/>
        <w:numPr>
          <w:ilvl w:val="0"/>
          <w:numId w:val="8"/>
        </w:numPr>
        <w:spacing w:after="120"/>
        <w:rPr>
          <w:rFonts w:asciiTheme="majorHAnsi" w:hAnsiTheme="majorHAnsi" w:cstheme="majorHAnsi"/>
        </w:rPr>
      </w:pPr>
      <w:hyperlink r:id="rId18" w:history="1">
        <w:r w:rsidR="00592759" w:rsidRPr="0072016E">
          <w:rPr>
            <w:rStyle w:val="Hyperlink"/>
            <w:rFonts w:asciiTheme="majorHAnsi" w:hAnsiTheme="majorHAnsi" w:cstheme="majorHAnsi"/>
          </w:rPr>
          <w:t>Adjudication Response</w:t>
        </w:r>
      </w:hyperlink>
    </w:p>
    <w:p w14:paraId="3B9F56F7" w14:textId="77777777" w:rsidR="00EC1CD9" w:rsidRDefault="00EC1CD9" w:rsidP="00FF6024">
      <w:pPr>
        <w:spacing w:after="120"/>
        <w:rPr>
          <w:rFonts w:asciiTheme="majorHAnsi" w:hAnsiTheme="majorHAnsi" w:cstheme="majorHAnsi"/>
        </w:rPr>
      </w:pPr>
    </w:p>
    <w:p w14:paraId="0104E6B5" w14:textId="77777777" w:rsidR="00D82D62" w:rsidRDefault="00D82D62" w:rsidP="00FF6024">
      <w:pPr>
        <w:spacing w:after="120"/>
        <w:rPr>
          <w:rFonts w:asciiTheme="majorHAnsi" w:hAnsiTheme="majorHAnsi" w:cstheme="majorHAnsi"/>
          <w:b/>
          <w:bCs/>
        </w:rPr>
      </w:pPr>
    </w:p>
    <w:p w14:paraId="293000B4" w14:textId="3B63DC3D" w:rsidR="00FF6024" w:rsidRDefault="00FF6024" w:rsidP="00FF6024">
      <w:pPr>
        <w:spacing w:after="120"/>
        <w:rPr>
          <w:rFonts w:asciiTheme="majorHAnsi" w:hAnsiTheme="majorHAnsi" w:cstheme="majorHAnsi"/>
          <w:b/>
          <w:bCs/>
        </w:rPr>
      </w:pPr>
      <w:r>
        <w:rPr>
          <w:rFonts w:asciiTheme="majorHAnsi" w:hAnsiTheme="majorHAnsi" w:cstheme="majorHAnsi"/>
          <w:b/>
          <w:bCs/>
        </w:rPr>
        <w:lastRenderedPageBreak/>
        <w:t>What happens if there is a dispute after I’ve received a payment schedule?</w:t>
      </w:r>
    </w:p>
    <w:p w14:paraId="329103BD" w14:textId="152B571E" w:rsidR="00FF6024" w:rsidRDefault="009A2A3F" w:rsidP="00FF6024">
      <w:pPr>
        <w:spacing w:after="120"/>
        <w:rPr>
          <w:rFonts w:asciiTheme="majorHAnsi" w:hAnsiTheme="majorHAnsi" w:cstheme="majorHAnsi"/>
        </w:rPr>
      </w:pPr>
      <w:r>
        <w:rPr>
          <w:rFonts w:asciiTheme="majorHAnsi" w:hAnsiTheme="majorHAnsi" w:cstheme="majorHAnsi"/>
        </w:rPr>
        <w:t xml:space="preserve">If there is dispute about payment, the claimant can apply for adjudication by </w:t>
      </w:r>
      <w:r w:rsidR="00CA61AC">
        <w:rPr>
          <w:rFonts w:asciiTheme="majorHAnsi" w:hAnsiTheme="majorHAnsi" w:cstheme="majorHAnsi"/>
        </w:rPr>
        <w:t xml:space="preserve"> </w:t>
      </w:r>
      <w:r w:rsidR="00417098">
        <w:rPr>
          <w:rFonts w:asciiTheme="majorHAnsi" w:hAnsiTheme="majorHAnsi" w:cstheme="majorHAnsi"/>
        </w:rPr>
        <w:t xml:space="preserve">lodging an application with </w:t>
      </w:r>
      <w:r>
        <w:rPr>
          <w:rFonts w:asciiTheme="majorHAnsi" w:hAnsiTheme="majorHAnsi" w:cstheme="majorHAnsi"/>
        </w:rPr>
        <w:t xml:space="preserve">an </w:t>
      </w:r>
      <w:hyperlink r:id="rId19" w:history="1">
        <w:r w:rsidRPr="000043C7">
          <w:rPr>
            <w:rStyle w:val="Hyperlink"/>
            <w:rFonts w:asciiTheme="majorHAnsi" w:hAnsiTheme="majorHAnsi" w:cstheme="majorHAnsi"/>
          </w:rPr>
          <w:t>Authorised Nominating Authority (ANA)</w:t>
        </w:r>
      </w:hyperlink>
      <w:r>
        <w:rPr>
          <w:rFonts w:asciiTheme="majorHAnsi" w:hAnsiTheme="majorHAnsi" w:cstheme="majorHAnsi"/>
        </w:rPr>
        <w:t>.</w:t>
      </w:r>
    </w:p>
    <w:p w14:paraId="1454FE5C" w14:textId="2A7935F7" w:rsidR="009A2A3F" w:rsidRDefault="009A2A3F" w:rsidP="00FF6024">
      <w:pPr>
        <w:spacing w:after="120"/>
        <w:rPr>
          <w:rFonts w:asciiTheme="majorHAnsi" w:hAnsiTheme="majorHAnsi" w:cstheme="majorHAnsi"/>
        </w:rPr>
      </w:pPr>
      <w:r>
        <w:rPr>
          <w:rFonts w:asciiTheme="majorHAnsi" w:hAnsiTheme="majorHAnsi" w:cstheme="majorHAnsi"/>
        </w:rPr>
        <w:t>The ANA nominates an adjudicator with the necessary skills and experience to adjudicate the dispute.</w:t>
      </w:r>
    </w:p>
    <w:p w14:paraId="0717FE0F" w14:textId="3E7A27D7" w:rsidR="000043C7" w:rsidRDefault="000043C7" w:rsidP="00FF6024">
      <w:pPr>
        <w:spacing w:after="120"/>
        <w:rPr>
          <w:rFonts w:asciiTheme="majorHAnsi" w:hAnsiTheme="majorHAnsi" w:cstheme="majorHAnsi"/>
        </w:rPr>
      </w:pPr>
    </w:p>
    <w:p w14:paraId="5D07066B" w14:textId="220E5265" w:rsidR="000043C7" w:rsidRDefault="000043C7" w:rsidP="00FF6024">
      <w:pPr>
        <w:spacing w:after="120"/>
        <w:rPr>
          <w:rFonts w:asciiTheme="majorHAnsi" w:hAnsiTheme="majorHAnsi" w:cstheme="majorHAnsi"/>
          <w:b/>
          <w:bCs/>
        </w:rPr>
      </w:pPr>
      <w:r>
        <w:rPr>
          <w:rFonts w:asciiTheme="majorHAnsi" w:hAnsiTheme="majorHAnsi" w:cstheme="majorHAnsi"/>
          <w:b/>
          <w:bCs/>
        </w:rPr>
        <w:t>Where can I find information about Authorised Nominating Authorities?</w:t>
      </w:r>
    </w:p>
    <w:p w14:paraId="1A7BB1DA" w14:textId="7C556DE9" w:rsidR="000043C7" w:rsidRDefault="000043C7" w:rsidP="00FF6024">
      <w:pPr>
        <w:spacing w:after="120"/>
        <w:rPr>
          <w:rFonts w:asciiTheme="majorHAnsi" w:hAnsiTheme="majorHAnsi" w:cstheme="majorHAnsi"/>
        </w:rPr>
      </w:pPr>
      <w:r>
        <w:rPr>
          <w:rFonts w:asciiTheme="majorHAnsi" w:hAnsiTheme="majorHAnsi" w:cstheme="majorHAnsi"/>
        </w:rPr>
        <w:t xml:space="preserve">Authorised Nominating Authorities (ANAs) are authorised under the SOP Act to undertake a range of adjudication functions and </w:t>
      </w:r>
      <w:proofErr w:type="gramStart"/>
      <w:r>
        <w:rPr>
          <w:rFonts w:asciiTheme="majorHAnsi" w:hAnsiTheme="majorHAnsi" w:cstheme="majorHAnsi"/>
        </w:rPr>
        <w:t>provide assistance to</w:t>
      </w:r>
      <w:proofErr w:type="gramEnd"/>
      <w:r>
        <w:rPr>
          <w:rFonts w:asciiTheme="majorHAnsi" w:hAnsiTheme="majorHAnsi" w:cstheme="majorHAnsi"/>
        </w:rPr>
        <w:t xml:space="preserve"> parties regarding the adjudication process.</w:t>
      </w:r>
    </w:p>
    <w:p w14:paraId="2057A790" w14:textId="629F6768" w:rsidR="000043C7" w:rsidRDefault="000043C7" w:rsidP="00FF6024">
      <w:pPr>
        <w:spacing w:after="120"/>
        <w:rPr>
          <w:rFonts w:asciiTheme="majorHAnsi" w:hAnsiTheme="majorHAnsi" w:cstheme="majorHAnsi"/>
        </w:rPr>
      </w:pPr>
      <w:r>
        <w:rPr>
          <w:rFonts w:asciiTheme="majorHAnsi" w:hAnsiTheme="majorHAnsi" w:cstheme="majorHAnsi"/>
        </w:rPr>
        <w:t xml:space="preserve">The VBA </w:t>
      </w:r>
      <w:r w:rsidR="00693614">
        <w:rPr>
          <w:rFonts w:asciiTheme="majorHAnsi" w:hAnsiTheme="majorHAnsi" w:cstheme="majorHAnsi"/>
        </w:rPr>
        <w:t>publishes an</w:t>
      </w:r>
      <w:r>
        <w:rPr>
          <w:rFonts w:asciiTheme="majorHAnsi" w:hAnsiTheme="majorHAnsi" w:cstheme="majorHAnsi"/>
        </w:rPr>
        <w:t xml:space="preserve"> ANA register, which you can access that includes information about </w:t>
      </w:r>
      <w:r w:rsidR="00DC2939">
        <w:rPr>
          <w:rFonts w:asciiTheme="majorHAnsi" w:hAnsiTheme="majorHAnsi" w:cstheme="majorHAnsi"/>
        </w:rPr>
        <w:t>the ANAs</w:t>
      </w:r>
      <w:r>
        <w:rPr>
          <w:rFonts w:asciiTheme="majorHAnsi" w:hAnsiTheme="majorHAnsi" w:cstheme="majorHAnsi"/>
        </w:rPr>
        <w:t xml:space="preserve">. </w:t>
      </w:r>
    </w:p>
    <w:p w14:paraId="70574DB0" w14:textId="24926C76" w:rsidR="000043C7" w:rsidRPr="000043C7" w:rsidRDefault="000043C7" w:rsidP="00FF6024">
      <w:pPr>
        <w:spacing w:after="120"/>
        <w:rPr>
          <w:rFonts w:asciiTheme="majorHAnsi" w:hAnsiTheme="majorHAnsi" w:cstheme="majorHAnsi"/>
        </w:rPr>
      </w:pPr>
      <w:r w:rsidRPr="19A8C3BD">
        <w:rPr>
          <w:rFonts w:asciiTheme="majorHAnsi" w:hAnsiTheme="majorHAnsi" w:cstheme="majorBidi"/>
        </w:rPr>
        <w:t xml:space="preserve">You can access the register and more information </w:t>
      </w:r>
      <w:hyperlink r:id="rId20" w:history="1">
        <w:r w:rsidRPr="19A8C3BD">
          <w:rPr>
            <w:rStyle w:val="Hyperlink"/>
            <w:rFonts w:asciiTheme="majorHAnsi" w:hAnsiTheme="majorHAnsi" w:cstheme="majorBidi"/>
          </w:rPr>
          <w:t>here</w:t>
        </w:r>
      </w:hyperlink>
      <w:r w:rsidRPr="19A8C3BD">
        <w:rPr>
          <w:rFonts w:asciiTheme="majorHAnsi" w:hAnsiTheme="majorHAnsi" w:cstheme="majorBidi"/>
        </w:rPr>
        <w:t xml:space="preserve">. </w:t>
      </w:r>
    </w:p>
    <w:p w14:paraId="0CADCCC9" w14:textId="0295DFE3" w:rsidR="009A2A3F" w:rsidRDefault="009A2A3F" w:rsidP="00FF6024">
      <w:pPr>
        <w:spacing w:after="120"/>
        <w:rPr>
          <w:rFonts w:asciiTheme="majorHAnsi" w:hAnsiTheme="majorHAnsi" w:cstheme="majorHAnsi"/>
        </w:rPr>
      </w:pPr>
    </w:p>
    <w:p w14:paraId="4ABAC907" w14:textId="0F828D2A" w:rsidR="009A2A3F" w:rsidRDefault="009A2A3F" w:rsidP="00FF6024">
      <w:pPr>
        <w:spacing w:after="120"/>
        <w:rPr>
          <w:rFonts w:asciiTheme="majorHAnsi" w:hAnsiTheme="majorHAnsi" w:cstheme="majorHAnsi"/>
          <w:b/>
          <w:bCs/>
        </w:rPr>
      </w:pPr>
      <w:r>
        <w:rPr>
          <w:rFonts w:asciiTheme="majorHAnsi" w:hAnsiTheme="majorHAnsi" w:cstheme="majorHAnsi"/>
          <w:b/>
          <w:bCs/>
        </w:rPr>
        <w:t>How long does the adjudicator have to determine what amount, if any, the respondent should pay?</w:t>
      </w:r>
    </w:p>
    <w:p w14:paraId="1E6E2BD3" w14:textId="3C1C85FF" w:rsidR="009A2A3F" w:rsidRDefault="009A2A3F" w:rsidP="00FF6024">
      <w:pPr>
        <w:spacing w:after="120"/>
        <w:rPr>
          <w:rFonts w:asciiTheme="majorHAnsi" w:hAnsiTheme="majorHAnsi" w:cstheme="majorHAnsi"/>
        </w:rPr>
      </w:pPr>
      <w:r>
        <w:rPr>
          <w:rFonts w:asciiTheme="majorHAnsi" w:hAnsiTheme="majorHAnsi" w:cstheme="majorHAnsi"/>
        </w:rPr>
        <w:t>After accepting nomination, the adjudicator has 10 business days (or up to 15 business days if the claimant agrees), to determine what amount (if any) the respondent should pay, and when.</w:t>
      </w:r>
    </w:p>
    <w:p w14:paraId="6058C7ED" w14:textId="77777777" w:rsidR="00170338" w:rsidRDefault="00170338" w:rsidP="00FF6024">
      <w:pPr>
        <w:spacing w:after="120"/>
        <w:rPr>
          <w:rFonts w:asciiTheme="majorHAnsi" w:hAnsiTheme="majorHAnsi" w:cstheme="majorHAnsi"/>
        </w:rPr>
      </w:pPr>
    </w:p>
    <w:p w14:paraId="396487B0" w14:textId="07589A13" w:rsidR="009A2A3F" w:rsidRDefault="009A2A3F" w:rsidP="00FF6024">
      <w:pPr>
        <w:spacing w:after="120"/>
        <w:rPr>
          <w:rFonts w:asciiTheme="majorHAnsi" w:hAnsiTheme="majorHAnsi" w:cstheme="majorHAnsi"/>
          <w:b/>
          <w:bCs/>
        </w:rPr>
      </w:pPr>
      <w:r>
        <w:rPr>
          <w:rFonts w:asciiTheme="majorHAnsi" w:hAnsiTheme="majorHAnsi" w:cstheme="majorHAnsi"/>
          <w:b/>
          <w:bCs/>
        </w:rPr>
        <w:t>Can I choose to go to court to resolve this matter instead of applying for adjudication?</w:t>
      </w:r>
    </w:p>
    <w:p w14:paraId="6D1B906F" w14:textId="3534E420" w:rsidR="009A2A3F" w:rsidRDefault="009A2A3F" w:rsidP="00FF6024">
      <w:pPr>
        <w:spacing w:after="120"/>
        <w:rPr>
          <w:rFonts w:asciiTheme="majorHAnsi" w:hAnsiTheme="majorHAnsi" w:cstheme="majorHAnsi"/>
        </w:rPr>
      </w:pPr>
      <w:r>
        <w:rPr>
          <w:rFonts w:asciiTheme="majorHAnsi" w:hAnsiTheme="majorHAnsi" w:cstheme="majorHAnsi"/>
        </w:rPr>
        <w:t>A claimant may choose to go to court to resolve a payment dispute rather than apply for adjudication.</w:t>
      </w:r>
    </w:p>
    <w:p w14:paraId="4920769E" w14:textId="1A13899C" w:rsidR="009A2A3F" w:rsidRDefault="009A2A3F" w:rsidP="00CE564C">
      <w:pPr>
        <w:spacing w:after="120"/>
        <w:rPr>
          <w:rFonts w:asciiTheme="majorHAnsi" w:hAnsiTheme="majorHAnsi" w:cstheme="majorHAnsi"/>
        </w:rPr>
      </w:pPr>
      <w:r>
        <w:rPr>
          <w:rFonts w:asciiTheme="majorHAnsi" w:hAnsiTheme="majorHAnsi" w:cstheme="majorHAnsi"/>
        </w:rPr>
        <w:t xml:space="preserve">This is done by lodging a complaint with the Magistrates’ Court or a writ in the County Court or the Supreme Court, depending on the value of the claim. </w:t>
      </w:r>
    </w:p>
    <w:p w14:paraId="520320C6" w14:textId="77777777" w:rsidR="007165C5" w:rsidRDefault="007165C5" w:rsidP="00FF6024">
      <w:pPr>
        <w:spacing w:after="120"/>
        <w:rPr>
          <w:rFonts w:asciiTheme="majorHAnsi" w:hAnsiTheme="majorHAnsi" w:cstheme="majorHAnsi"/>
        </w:rPr>
      </w:pPr>
    </w:p>
    <w:p w14:paraId="6E17B554" w14:textId="5475AAD0" w:rsidR="007165C5" w:rsidRPr="00DD7877" w:rsidRDefault="00DD7877" w:rsidP="00FF6024">
      <w:pPr>
        <w:spacing w:after="120"/>
        <w:rPr>
          <w:rFonts w:asciiTheme="majorHAnsi" w:hAnsiTheme="majorHAnsi" w:cstheme="majorHAnsi"/>
          <w:b/>
          <w:bCs/>
        </w:rPr>
      </w:pPr>
      <w:r w:rsidRPr="00DD7877">
        <w:rPr>
          <w:rFonts w:asciiTheme="majorHAnsi" w:hAnsiTheme="majorHAnsi" w:cstheme="majorHAnsi"/>
          <w:b/>
          <w:bCs/>
        </w:rPr>
        <w:t xml:space="preserve">What are the other options available </w:t>
      </w:r>
      <w:r w:rsidR="00B536CE">
        <w:rPr>
          <w:rFonts w:asciiTheme="majorHAnsi" w:hAnsiTheme="majorHAnsi" w:cstheme="majorHAnsi"/>
          <w:b/>
          <w:bCs/>
        </w:rPr>
        <w:t xml:space="preserve">to a claimant </w:t>
      </w:r>
      <w:r w:rsidRPr="00DD7877">
        <w:rPr>
          <w:rFonts w:asciiTheme="majorHAnsi" w:hAnsiTheme="majorHAnsi" w:cstheme="majorHAnsi"/>
          <w:b/>
          <w:bCs/>
        </w:rPr>
        <w:t>under the SOP Act?</w:t>
      </w:r>
    </w:p>
    <w:p w14:paraId="166B7FD7" w14:textId="321C232E" w:rsidR="00CE564C" w:rsidRPr="00CE564C" w:rsidRDefault="00B536CE" w:rsidP="00583927">
      <w:pPr>
        <w:shd w:val="clear" w:color="auto" w:fill="FFFFFF"/>
        <w:spacing w:after="120"/>
        <w:ind w:left="57"/>
        <w:rPr>
          <w:rFonts w:asciiTheme="majorHAnsi" w:hAnsiTheme="majorHAnsi" w:cstheme="majorHAnsi"/>
        </w:rPr>
      </w:pPr>
      <w:r>
        <w:rPr>
          <w:rFonts w:asciiTheme="majorHAnsi" w:hAnsiTheme="majorHAnsi" w:cstheme="majorHAnsi"/>
        </w:rPr>
        <w:t>In circumstances</w:t>
      </w:r>
      <w:r w:rsidR="003B5B4E">
        <w:rPr>
          <w:rFonts w:asciiTheme="majorHAnsi" w:hAnsiTheme="majorHAnsi" w:cstheme="majorHAnsi"/>
        </w:rPr>
        <w:t xml:space="preserve"> where the respondent </w:t>
      </w:r>
      <w:r w:rsidR="00D8501C">
        <w:rPr>
          <w:rFonts w:asciiTheme="majorHAnsi" w:hAnsiTheme="majorHAnsi" w:cstheme="majorHAnsi"/>
        </w:rPr>
        <w:t>does not pay or does respond to a payment claim</w:t>
      </w:r>
      <w:r>
        <w:rPr>
          <w:rFonts w:asciiTheme="majorHAnsi" w:hAnsiTheme="majorHAnsi" w:cstheme="majorHAnsi"/>
        </w:rPr>
        <w:t>, other options available to a claimant under the SOP Act, include:</w:t>
      </w:r>
    </w:p>
    <w:p w14:paraId="612951A4" w14:textId="77777777" w:rsidR="00CE564C" w:rsidRPr="00CE564C" w:rsidRDefault="00CE564C" w:rsidP="00CE564C">
      <w:pPr>
        <w:numPr>
          <w:ilvl w:val="0"/>
          <w:numId w:val="10"/>
        </w:numPr>
        <w:shd w:val="clear" w:color="auto" w:fill="FFFFFF"/>
        <w:tabs>
          <w:tab w:val="clear" w:pos="720"/>
          <w:tab w:val="num" w:pos="1080"/>
        </w:tabs>
        <w:spacing w:after="120"/>
        <w:ind w:left="417"/>
        <w:rPr>
          <w:rFonts w:asciiTheme="majorHAnsi" w:hAnsiTheme="majorHAnsi" w:cstheme="majorHAnsi"/>
        </w:rPr>
      </w:pPr>
      <w:r w:rsidRPr="00CE564C">
        <w:rPr>
          <w:rFonts w:asciiTheme="majorHAnsi" w:hAnsiTheme="majorHAnsi" w:cstheme="majorHAnsi"/>
        </w:rPr>
        <w:t>exercising a lien over unfixed plant and materials</w:t>
      </w:r>
    </w:p>
    <w:p w14:paraId="092DD939" w14:textId="7E8FFDBF" w:rsidR="00CE564C" w:rsidRDefault="00CE564C" w:rsidP="00CE564C">
      <w:pPr>
        <w:numPr>
          <w:ilvl w:val="0"/>
          <w:numId w:val="10"/>
        </w:numPr>
        <w:shd w:val="clear" w:color="auto" w:fill="FFFFFF"/>
        <w:tabs>
          <w:tab w:val="clear" w:pos="720"/>
          <w:tab w:val="num" w:pos="1080"/>
        </w:tabs>
        <w:spacing w:after="120"/>
        <w:ind w:left="417"/>
        <w:rPr>
          <w:rFonts w:asciiTheme="majorHAnsi" w:hAnsiTheme="majorHAnsi" w:cstheme="majorHAnsi"/>
        </w:rPr>
      </w:pPr>
      <w:r w:rsidRPr="00CE564C">
        <w:rPr>
          <w:rFonts w:asciiTheme="majorHAnsi" w:hAnsiTheme="majorHAnsi" w:cstheme="majorHAnsi"/>
        </w:rPr>
        <w:t>suspending work or the supply of goods and services</w:t>
      </w:r>
      <w:r w:rsidR="00F43341">
        <w:rPr>
          <w:rFonts w:asciiTheme="majorHAnsi" w:hAnsiTheme="majorHAnsi" w:cstheme="majorHAnsi"/>
        </w:rPr>
        <w:t>.</w:t>
      </w:r>
    </w:p>
    <w:p w14:paraId="233A289E" w14:textId="30B94086" w:rsidR="00F43341" w:rsidRPr="00CE564C" w:rsidRDefault="00F43341" w:rsidP="00583927">
      <w:pPr>
        <w:shd w:val="clear" w:color="auto" w:fill="FFFFFF"/>
        <w:spacing w:after="120"/>
        <w:rPr>
          <w:rFonts w:asciiTheme="majorHAnsi" w:hAnsiTheme="majorHAnsi" w:cstheme="majorHAnsi"/>
        </w:rPr>
      </w:pPr>
      <w:r>
        <w:rPr>
          <w:rFonts w:asciiTheme="majorHAnsi" w:hAnsiTheme="majorHAnsi" w:cstheme="majorHAnsi"/>
        </w:rPr>
        <w:t xml:space="preserve">Information about these options is available on the VBA website: </w:t>
      </w:r>
      <w:hyperlink r:id="rId21" w:history="1">
        <w:r w:rsidRPr="00663A7A">
          <w:rPr>
            <w:rStyle w:val="Hyperlink"/>
            <w:rFonts w:asciiTheme="majorHAnsi" w:hAnsiTheme="majorHAnsi" w:cstheme="majorHAnsi"/>
          </w:rPr>
          <w:t>Options if a respondent does not pay or respond</w:t>
        </w:r>
      </w:hyperlink>
      <w:r>
        <w:rPr>
          <w:rFonts w:asciiTheme="majorHAnsi" w:hAnsiTheme="majorHAnsi" w:cstheme="majorHAnsi"/>
        </w:rPr>
        <w:t xml:space="preserve">. </w:t>
      </w:r>
    </w:p>
    <w:p w14:paraId="7A92F145" w14:textId="26E79010" w:rsidR="00626BDE" w:rsidRDefault="00860380" w:rsidP="00FF6024">
      <w:pPr>
        <w:spacing w:after="120"/>
        <w:rPr>
          <w:rFonts w:asciiTheme="majorHAnsi" w:hAnsiTheme="majorHAnsi" w:cstheme="majorHAnsi"/>
        </w:rPr>
      </w:pPr>
      <w:r>
        <w:rPr>
          <w:rFonts w:cs="Arial"/>
          <w:color w:val="010101"/>
          <w:shd w:val="clear" w:color="auto" w:fill="FFFFFF"/>
        </w:rPr>
        <w:t>In certain circumstances, i</w:t>
      </w:r>
      <w:r w:rsidR="00D8501C">
        <w:rPr>
          <w:rFonts w:cs="Arial"/>
          <w:color w:val="010101"/>
          <w:shd w:val="clear" w:color="auto" w:fill="FFFFFF"/>
        </w:rPr>
        <w:t xml:space="preserve">f a respondent fails </w:t>
      </w:r>
      <w:r w:rsidR="00577633">
        <w:rPr>
          <w:rFonts w:cs="Arial"/>
          <w:color w:val="010101"/>
          <w:shd w:val="clear" w:color="auto" w:fill="FFFFFF"/>
        </w:rPr>
        <w:t xml:space="preserve">to pay </w:t>
      </w:r>
      <w:r w:rsidR="00D8501C">
        <w:rPr>
          <w:rFonts w:cs="Arial"/>
          <w:color w:val="010101"/>
          <w:shd w:val="clear" w:color="auto" w:fill="FFFFFF"/>
        </w:rPr>
        <w:t>an</w:t>
      </w:r>
      <w:r w:rsidR="00577633">
        <w:rPr>
          <w:rFonts w:cs="Arial"/>
          <w:color w:val="010101"/>
          <w:shd w:val="clear" w:color="auto" w:fill="FFFFFF"/>
        </w:rPr>
        <w:t xml:space="preserve"> adjudicated amount</w:t>
      </w:r>
      <w:r w:rsidR="00D8501C">
        <w:rPr>
          <w:rFonts w:cs="Arial"/>
          <w:color w:val="010101"/>
          <w:shd w:val="clear" w:color="auto" w:fill="FFFFFF"/>
        </w:rPr>
        <w:t xml:space="preserve"> (the amount determined by an adjudicator)</w:t>
      </w:r>
      <w:r w:rsidR="00577633">
        <w:rPr>
          <w:rFonts w:cs="Arial"/>
          <w:color w:val="010101"/>
          <w:shd w:val="clear" w:color="auto" w:fill="FFFFFF"/>
        </w:rPr>
        <w:t xml:space="preserve">, </w:t>
      </w:r>
      <w:hyperlink r:id="rId22" w:history="1">
        <w:r w:rsidR="00D8501C" w:rsidRPr="00F63248">
          <w:rPr>
            <w:rStyle w:val="Hyperlink"/>
            <w:rFonts w:cs="Arial"/>
            <w:shd w:val="clear" w:color="auto" w:fill="FFFFFF"/>
          </w:rPr>
          <w:t xml:space="preserve">a </w:t>
        </w:r>
        <w:r w:rsidR="00577633" w:rsidRPr="00F63248">
          <w:rPr>
            <w:rStyle w:val="Hyperlink"/>
            <w:rFonts w:cs="Arial"/>
            <w:shd w:val="clear" w:color="auto" w:fill="FFFFFF"/>
          </w:rPr>
          <w:t xml:space="preserve">claimant </w:t>
        </w:r>
        <w:r w:rsidR="00D8501C" w:rsidRPr="00F63248">
          <w:rPr>
            <w:rStyle w:val="Hyperlink"/>
            <w:rFonts w:cs="Arial"/>
            <w:shd w:val="clear" w:color="auto" w:fill="FFFFFF"/>
          </w:rPr>
          <w:t>ma</w:t>
        </w:r>
        <w:r w:rsidR="00577633" w:rsidRPr="00F63248">
          <w:rPr>
            <w:rStyle w:val="Hyperlink"/>
            <w:rFonts w:cs="Arial"/>
            <w:shd w:val="clear" w:color="auto" w:fill="FFFFFF"/>
          </w:rPr>
          <w:t xml:space="preserve">y </w:t>
        </w:r>
        <w:r w:rsidRPr="00F63248">
          <w:rPr>
            <w:rStyle w:val="Hyperlink"/>
            <w:rFonts w:cs="Arial"/>
            <w:shd w:val="clear" w:color="auto" w:fill="FFFFFF"/>
          </w:rPr>
          <w:t xml:space="preserve">be able to </w:t>
        </w:r>
        <w:r w:rsidR="00577633" w:rsidRPr="00F63248">
          <w:rPr>
            <w:rStyle w:val="Hyperlink"/>
            <w:rFonts w:cs="Arial"/>
            <w:shd w:val="clear" w:color="auto" w:fill="FFFFFF"/>
          </w:rPr>
          <w:t>seek payment from the respondent’s principal</w:t>
        </w:r>
      </w:hyperlink>
      <w:r w:rsidR="00F115F9">
        <w:rPr>
          <w:rFonts w:cs="Arial"/>
          <w:color w:val="010101"/>
          <w:shd w:val="clear" w:color="auto" w:fill="FFFFFF"/>
        </w:rPr>
        <w:t xml:space="preserve"> </w:t>
      </w:r>
      <w:r w:rsidR="000749C2">
        <w:rPr>
          <w:rFonts w:cs="Arial"/>
          <w:color w:val="010101"/>
          <w:shd w:val="clear" w:color="auto" w:fill="FFFFFF"/>
        </w:rPr>
        <w:t xml:space="preserve">(the person who </w:t>
      </w:r>
      <w:r w:rsidR="007D5C6A">
        <w:rPr>
          <w:rFonts w:cs="Arial"/>
          <w:color w:val="010101"/>
          <w:shd w:val="clear" w:color="auto" w:fill="FFFFFF"/>
        </w:rPr>
        <w:t>engaged</w:t>
      </w:r>
      <w:r w:rsidR="000749C2">
        <w:rPr>
          <w:rFonts w:cs="Arial"/>
          <w:color w:val="010101"/>
          <w:shd w:val="clear" w:color="auto" w:fill="FFFFFF"/>
        </w:rPr>
        <w:t xml:space="preserve"> the </w:t>
      </w:r>
      <w:r w:rsidR="005C5482">
        <w:rPr>
          <w:rFonts w:cs="Arial"/>
          <w:color w:val="010101"/>
          <w:shd w:val="clear" w:color="auto" w:fill="FFFFFF"/>
        </w:rPr>
        <w:t xml:space="preserve">respondent to </w:t>
      </w:r>
      <w:r w:rsidR="006130F3">
        <w:rPr>
          <w:rFonts w:cs="Arial"/>
          <w:color w:val="010101"/>
          <w:shd w:val="clear" w:color="auto" w:fill="FFFFFF"/>
        </w:rPr>
        <w:t>carry out work or supply</w:t>
      </w:r>
      <w:r w:rsidR="00064274">
        <w:rPr>
          <w:rFonts w:cs="Arial"/>
          <w:color w:val="010101"/>
          <w:shd w:val="clear" w:color="auto" w:fill="FFFFFF"/>
        </w:rPr>
        <w:t xml:space="preserve"> </w:t>
      </w:r>
      <w:r w:rsidR="00ED16F3">
        <w:rPr>
          <w:rFonts w:cs="Arial"/>
          <w:color w:val="010101"/>
          <w:shd w:val="clear" w:color="auto" w:fill="FFFFFF"/>
        </w:rPr>
        <w:t xml:space="preserve">related </w:t>
      </w:r>
      <w:r w:rsidR="00064274">
        <w:rPr>
          <w:rFonts w:cs="Arial"/>
          <w:color w:val="010101"/>
          <w:shd w:val="clear" w:color="auto" w:fill="FFFFFF"/>
        </w:rPr>
        <w:t>goods and services)</w:t>
      </w:r>
      <w:r w:rsidR="00577633">
        <w:rPr>
          <w:rFonts w:cs="Arial"/>
          <w:color w:val="010101"/>
          <w:shd w:val="clear" w:color="auto" w:fill="FFFFFF"/>
        </w:rPr>
        <w:t>.</w:t>
      </w:r>
    </w:p>
    <w:p w14:paraId="0AB12739" w14:textId="77777777" w:rsidR="00564E4A" w:rsidRDefault="00564E4A" w:rsidP="00FF6024">
      <w:pPr>
        <w:spacing w:after="120"/>
        <w:rPr>
          <w:rFonts w:asciiTheme="majorHAnsi" w:hAnsiTheme="majorHAnsi" w:cstheme="majorHAnsi"/>
          <w:b/>
          <w:bCs/>
        </w:rPr>
      </w:pPr>
    </w:p>
    <w:p w14:paraId="44F820D7" w14:textId="2701CA0D" w:rsidR="008E5769" w:rsidRPr="002D1C0A" w:rsidRDefault="008E5769" w:rsidP="00FF6024">
      <w:pPr>
        <w:spacing w:after="120"/>
        <w:rPr>
          <w:rFonts w:asciiTheme="majorHAnsi" w:hAnsiTheme="majorHAnsi" w:cstheme="majorHAnsi"/>
          <w:b/>
          <w:bCs/>
        </w:rPr>
      </w:pPr>
      <w:r w:rsidRPr="002D1C0A">
        <w:rPr>
          <w:rFonts w:asciiTheme="majorHAnsi" w:hAnsiTheme="majorHAnsi" w:cstheme="majorHAnsi"/>
          <w:b/>
          <w:bCs/>
        </w:rPr>
        <w:t xml:space="preserve">Are there consequences for a building practitioner </w:t>
      </w:r>
      <w:r w:rsidR="002D1C0A" w:rsidRPr="002D1C0A">
        <w:rPr>
          <w:rFonts w:asciiTheme="majorHAnsi" w:hAnsiTheme="majorHAnsi" w:cstheme="majorHAnsi"/>
          <w:b/>
          <w:bCs/>
        </w:rPr>
        <w:t>who fails to pay an adjudicated amount?</w:t>
      </w:r>
    </w:p>
    <w:p w14:paraId="12608427" w14:textId="10B4A4AD" w:rsidR="008E5769" w:rsidRDefault="001C7994" w:rsidP="00FF6024">
      <w:pPr>
        <w:spacing w:after="120"/>
        <w:rPr>
          <w:rFonts w:asciiTheme="majorHAnsi" w:hAnsiTheme="majorHAnsi" w:cstheme="majorHAnsi"/>
        </w:rPr>
      </w:pPr>
      <w:r>
        <w:rPr>
          <w:rFonts w:asciiTheme="majorHAnsi" w:hAnsiTheme="majorHAnsi" w:cstheme="majorHAnsi"/>
        </w:rPr>
        <w:t>Yes, there can be.</w:t>
      </w:r>
    </w:p>
    <w:p w14:paraId="53EECD1B" w14:textId="6D2017F6" w:rsidR="001C7994" w:rsidRDefault="00550EFA" w:rsidP="00FF6024">
      <w:pPr>
        <w:spacing w:after="120"/>
        <w:rPr>
          <w:rFonts w:asciiTheme="majorHAnsi" w:hAnsiTheme="majorHAnsi" w:cstheme="majorHAnsi"/>
        </w:rPr>
      </w:pPr>
      <w:r>
        <w:rPr>
          <w:rFonts w:asciiTheme="majorHAnsi" w:hAnsiTheme="majorHAnsi" w:cstheme="majorHAnsi"/>
        </w:rPr>
        <w:t xml:space="preserve">If a Registered Building Practitioner fails to pay an adjudicated amount under the SOP Act, there can be registration </w:t>
      </w:r>
      <w:r w:rsidR="00B870CA">
        <w:rPr>
          <w:rFonts w:asciiTheme="majorHAnsi" w:hAnsiTheme="majorHAnsi" w:cstheme="majorHAnsi"/>
        </w:rPr>
        <w:t>and disciplinary</w:t>
      </w:r>
      <w:r w:rsidR="00AD2761">
        <w:rPr>
          <w:rFonts w:asciiTheme="majorHAnsi" w:hAnsiTheme="majorHAnsi" w:cstheme="majorHAnsi"/>
        </w:rPr>
        <w:t xml:space="preserve"> action </w:t>
      </w:r>
      <w:r w:rsidR="00B870CA">
        <w:rPr>
          <w:rFonts w:asciiTheme="majorHAnsi" w:hAnsiTheme="majorHAnsi" w:cstheme="majorHAnsi"/>
        </w:rPr>
        <w:t>consequences for the practitioner.</w:t>
      </w:r>
    </w:p>
    <w:p w14:paraId="5CBA6713" w14:textId="77777777" w:rsidR="002D1C0A" w:rsidRDefault="002D1C0A" w:rsidP="00FF6024">
      <w:pPr>
        <w:spacing w:after="120"/>
        <w:rPr>
          <w:rFonts w:asciiTheme="majorHAnsi" w:hAnsiTheme="majorHAnsi" w:cstheme="majorHAnsi"/>
        </w:rPr>
      </w:pPr>
    </w:p>
    <w:p w14:paraId="735D4A80" w14:textId="6C5AE749" w:rsidR="00626BDE" w:rsidRDefault="00626BDE" w:rsidP="00FF6024">
      <w:pPr>
        <w:spacing w:after="120"/>
        <w:rPr>
          <w:rFonts w:asciiTheme="majorHAnsi" w:hAnsiTheme="majorHAnsi" w:cstheme="majorHAnsi"/>
          <w:b/>
          <w:bCs/>
        </w:rPr>
      </w:pPr>
      <w:r>
        <w:rPr>
          <w:rFonts w:asciiTheme="majorHAnsi" w:hAnsiTheme="majorHAnsi" w:cstheme="majorHAnsi"/>
          <w:b/>
          <w:bCs/>
        </w:rPr>
        <w:t>If I have any questions about Security of Payment, who can I contact at the VBA?</w:t>
      </w:r>
    </w:p>
    <w:p w14:paraId="7667C65D" w14:textId="48DF8AB6" w:rsidR="00626BDE" w:rsidRPr="00626BDE" w:rsidRDefault="00626BDE" w:rsidP="00FF6024">
      <w:pPr>
        <w:spacing w:after="120"/>
        <w:rPr>
          <w:rFonts w:asciiTheme="majorHAnsi" w:hAnsiTheme="majorHAnsi" w:cstheme="majorHAnsi"/>
          <w:b/>
          <w:bCs/>
        </w:rPr>
      </w:pPr>
      <w:r>
        <w:rPr>
          <w:rFonts w:cs="Arial"/>
          <w:color w:val="010101"/>
          <w:shd w:val="clear" w:color="auto" w:fill="FFFFFF"/>
        </w:rPr>
        <w:t>If you have any questions about SOP, please submit an </w:t>
      </w:r>
      <w:hyperlink r:id="rId23" w:history="1">
        <w:r>
          <w:rPr>
            <w:rStyle w:val="Hyperlink"/>
            <w:rFonts w:cs="Arial"/>
            <w:color w:val="003963"/>
            <w:shd w:val="clear" w:color="auto" w:fill="FFFFFF"/>
          </w:rPr>
          <w:t>enquiry</w:t>
        </w:r>
      </w:hyperlink>
      <w:r>
        <w:rPr>
          <w:rFonts w:cs="Arial"/>
          <w:color w:val="010101"/>
          <w:shd w:val="clear" w:color="auto" w:fill="FFFFFF"/>
        </w:rPr>
        <w:t> or call us on 1300 815 127.</w:t>
      </w:r>
    </w:p>
    <w:p w14:paraId="4ADD3823" w14:textId="4BB26748" w:rsidR="00626BDE" w:rsidRDefault="00626BDE" w:rsidP="00FF6024">
      <w:pPr>
        <w:spacing w:after="120"/>
        <w:rPr>
          <w:rFonts w:asciiTheme="majorHAnsi" w:hAnsiTheme="majorHAnsi" w:cstheme="majorHAnsi"/>
          <w:b/>
          <w:bCs/>
        </w:rPr>
      </w:pPr>
      <w:r>
        <w:rPr>
          <w:rFonts w:asciiTheme="majorHAnsi" w:hAnsiTheme="majorHAnsi" w:cstheme="majorHAnsi"/>
          <w:b/>
          <w:bCs/>
        </w:rPr>
        <w:lastRenderedPageBreak/>
        <w:t>Does the Security of Payment regime operate in other states and territories?</w:t>
      </w:r>
    </w:p>
    <w:p w14:paraId="16311272" w14:textId="39C5F826" w:rsidR="00626BDE" w:rsidRDefault="00626BDE" w:rsidP="00FF6024">
      <w:pPr>
        <w:spacing w:after="120"/>
        <w:rPr>
          <w:rFonts w:asciiTheme="majorHAnsi" w:hAnsiTheme="majorHAnsi" w:cstheme="majorHAnsi"/>
        </w:rPr>
      </w:pPr>
      <w:r>
        <w:rPr>
          <w:rFonts w:asciiTheme="majorHAnsi" w:hAnsiTheme="majorHAnsi" w:cstheme="majorHAnsi"/>
        </w:rPr>
        <w:t xml:space="preserve">The Security of Payment regime operates in all states and territories. </w:t>
      </w:r>
    </w:p>
    <w:p w14:paraId="7ACD9C5F" w14:textId="0DF2AC7F" w:rsidR="00626BDE" w:rsidRPr="00626BDE" w:rsidRDefault="00626BDE" w:rsidP="00FF6024">
      <w:pPr>
        <w:spacing w:after="120"/>
        <w:rPr>
          <w:rFonts w:asciiTheme="majorHAnsi" w:hAnsiTheme="majorHAnsi" w:cstheme="majorHAnsi"/>
        </w:rPr>
      </w:pPr>
      <w:r>
        <w:rPr>
          <w:rFonts w:asciiTheme="majorHAnsi" w:hAnsiTheme="majorHAnsi" w:cstheme="majorHAnsi"/>
        </w:rPr>
        <w:t xml:space="preserve">Contact details can be found on the VBA’s Security of Payment webpage: </w:t>
      </w:r>
      <w:hyperlink r:id="rId24" w:history="1">
        <w:r w:rsidRPr="00BF0A22">
          <w:rPr>
            <w:rStyle w:val="Hyperlink"/>
            <w:rFonts w:asciiTheme="majorHAnsi" w:hAnsiTheme="majorHAnsi" w:cstheme="majorHAnsi"/>
          </w:rPr>
          <w:t>https://www.vba.vic.gov.au/building/security-of-payment</w:t>
        </w:r>
      </w:hyperlink>
      <w:r>
        <w:rPr>
          <w:rFonts w:asciiTheme="majorHAnsi" w:hAnsiTheme="majorHAnsi" w:cstheme="majorHAnsi"/>
        </w:rPr>
        <w:t xml:space="preserve"> </w:t>
      </w:r>
    </w:p>
    <w:sectPr w:rsidR="00626BDE" w:rsidRPr="00626BDE" w:rsidSect="0009423B">
      <w:headerReference w:type="default" r:id="rId25"/>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99E0" w14:textId="77777777" w:rsidR="00092E6E" w:rsidRDefault="00092E6E" w:rsidP="00030542">
      <w:pPr>
        <w:spacing w:after="0" w:line="240" w:lineRule="auto"/>
      </w:pPr>
      <w:r>
        <w:separator/>
      </w:r>
    </w:p>
  </w:endnote>
  <w:endnote w:type="continuationSeparator" w:id="0">
    <w:p w14:paraId="5EEC4BC5" w14:textId="77777777" w:rsidR="00092E6E" w:rsidRDefault="00092E6E" w:rsidP="00030542">
      <w:pPr>
        <w:spacing w:after="0" w:line="240" w:lineRule="auto"/>
      </w:pPr>
      <w:r>
        <w:continuationSeparator/>
      </w:r>
    </w:p>
  </w:endnote>
  <w:endnote w:type="continuationNotice" w:id="1">
    <w:p w14:paraId="37E79AC2" w14:textId="77777777" w:rsidR="00092E6E" w:rsidRDefault="00092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0451AEF0" w:rsidR="00301F4F" w:rsidRPr="00B8661E" w:rsidRDefault="00B8661E" w:rsidP="00B8661E">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EC0907">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0F0D1B31"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EC0907">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B46E" w14:textId="77777777" w:rsidR="00092E6E" w:rsidRDefault="00092E6E" w:rsidP="00030542">
      <w:pPr>
        <w:spacing w:after="0" w:line="240" w:lineRule="auto"/>
      </w:pPr>
      <w:r>
        <w:separator/>
      </w:r>
    </w:p>
  </w:footnote>
  <w:footnote w:type="continuationSeparator" w:id="0">
    <w:p w14:paraId="0AD48536" w14:textId="77777777" w:rsidR="00092E6E" w:rsidRDefault="00092E6E" w:rsidP="00030542">
      <w:pPr>
        <w:spacing w:after="0" w:line="240" w:lineRule="auto"/>
      </w:pPr>
      <w:r>
        <w:continuationSeparator/>
      </w:r>
    </w:p>
  </w:footnote>
  <w:footnote w:type="continuationNotice" w:id="1">
    <w:p w14:paraId="29045F72" w14:textId="77777777" w:rsidR="00092E6E" w:rsidRDefault="00092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0CEC5F25" w:rsidR="008D05C8" w:rsidRPr="00493FCA" w:rsidRDefault="00493FCA" w:rsidP="00493FCA">
    <w:pPr>
      <w:pStyle w:val="Header"/>
      <w:ind w:firstLine="720"/>
      <w:jc w:val="right"/>
      <w:rPr>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1ED029DE" w:rsidR="00493FCA" w:rsidRPr="00143AC4" w:rsidRDefault="000D2F91" w:rsidP="00493FCA">
                          <w:pPr>
                            <w:rPr>
                              <w:rFonts w:cs="Arial"/>
                              <w:b/>
                              <w:bCs/>
                              <w:color w:val="00DAFF" w:themeColor="accent3"/>
                              <w:sz w:val="36"/>
                              <w:szCs w:val="36"/>
                            </w:rPr>
                          </w:pPr>
                          <w:r>
                            <w:rPr>
                              <w:rFonts w:cs="Arial"/>
                              <w:b/>
                              <w:bCs/>
                              <w:color w:val="00DAFF" w:themeColor="accent3"/>
                              <w:sz w:val="36"/>
                              <w:szCs w:val="36"/>
                            </w:rPr>
                            <w:t>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C8EC" id="_x0000_t202" coordsize="21600,21600" o:spt="202" path="m,l,21600r21600,l21600,xe">
              <v:stroke joinstyle="miter"/>
              <v:path gradientshapeok="t" o:connecttype="rect"/>
            </v:shapetype>
            <v:shape id="Text Box 30" o:spid="_x0000_s1026" type="#_x0000_t202"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filled="f" stroked="f" strokeweight=".5pt">
              <v:textbox>
                <w:txbxContent>
                  <w:p w14:paraId="51B3564C" w14:textId="1ED029DE" w:rsidR="00493FCA" w:rsidRPr="00143AC4" w:rsidRDefault="000D2F91" w:rsidP="00493FCA">
                    <w:pPr>
                      <w:rPr>
                        <w:rFonts w:cs="Arial"/>
                        <w:b/>
                        <w:bCs/>
                        <w:color w:val="00DAFF" w:themeColor="accent3"/>
                        <w:sz w:val="36"/>
                        <w:szCs w:val="36"/>
                      </w:rPr>
                    </w:pPr>
                    <w:r>
                      <w:rPr>
                        <w:rFonts w:cs="Arial"/>
                        <w:b/>
                        <w:bCs/>
                        <w:color w:val="00DAFF" w:themeColor="accent3"/>
                        <w:sz w:val="36"/>
                        <w:szCs w:val="36"/>
                      </w:rPr>
                      <w:t>FAQ</w:t>
                    </w:r>
                  </w:p>
                </w:txbxContent>
              </v:textbox>
            </v:shape>
          </w:pict>
        </mc:Fallback>
      </mc:AlternateContent>
    </w:r>
    <w:r>
      <w:rPr>
        <w:sz w:val="21"/>
        <w:szCs w:val="21"/>
      </w:rPr>
      <w:br/>
    </w:r>
    <w:r>
      <w:rPr>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9D60AE">
      <w:rPr>
        <w:sz w:val="21"/>
        <w:szCs w:val="21"/>
      </w:rPr>
      <w:fldChar w:fldCharType="begin"/>
    </w:r>
    <w:r w:rsidRPr="009D60AE">
      <w:rPr>
        <w:sz w:val="21"/>
        <w:szCs w:val="21"/>
      </w:rPr>
      <w:instrText xml:space="preserve"> DATE  \@ "MMMM yyyy" </w:instrText>
    </w:r>
    <w:r w:rsidRPr="009D60AE">
      <w:rPr>
        <w:sz w:val="21"/>
        <w:szCs w:val="21"/>
      </w:rPr>
      <w:fldChar w:fldCharType="separate"/>
    </w:r>
    <w:r w:rsidR="00EC0907">
      <w:rPr>
        <w:noProof/>
        <w:sz w:val="21"/>
        <w:szCs w:val="21"/>
      </w:rPr>
      <w:t>March 2023</w:t>
    </w:r>
    <w:r w:rsidRPr="009D60AE">
      <w:rPr>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2911" id="_x0000_t202" coordsize="21600,21600" o:spt="202" path="m,l,21600r21600,l21600,xe">
              <v:stroke joinstyle="miter"/>
              <v:path gradientshapeok="t" o:connecttype="rect"/>
            </v:shapetype>
            <v:shape id="Text Box 217" o:spid="_x0000_s1027" type="#_x0000_t202"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filled="f" stroked="f">
              <v:textbo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961"/>
    <w:multiLevelType w:val="hybridMultilevel"/>
    <w:tmpl w:val="BA3AF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90025C"/>
    <w:multiLevelType w:val="hybridMultilevel"/>
    <w:tmpl w:val="6636B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57686B"/>
    <w:multiLevelType w:val="hybridMultilevel"/>
    <w:tmpl w:val="5FE09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7D23FE"/>
    <w:multiLevelType w:val="hybridMultilevel"/>
    <w:tmpl w:val="0DDC3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B77F21"/>
    <w:multiLevelType w:val="multilevel"/>
    <w:tmpl w:val="B1A0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36811"/>
    <w:multiLevelType w:val="multilevel"/>
    <w:tmpl w:val="2FCE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4"/>
  </w:num>
  <w:num w:numId="2" w16cid:durableId="23216265">
    <w:abstractNumId w:val="8"/>
  </w:num>
  <w:num w:numId="3" w16cid:durableId="167526666">
    <w:abstractNumId w:val="3"/>
  </w:num>
  <w:num w:numId="4" w16cid:durableId="133759543">
    <w:abstractNumId w:val="9"/>
  </w:num>
  <w:num w:numId="5" w16cid:durableId="935986051">
    <w:abstractNumId w:val="5"/>
  </w:num>
  <w:num w:numId="6" w16cid:durableId="1776172460">
    <w:abstractNumId w:val="2"/>
  </w:num>
  <w:num w:numId="7" w16cid:durableId="552617076">
    <w:abstractNumId w:val="0"/>
  </w:num>
  <w:num w:numId="8" w16cid:durableId="1351755255">
    <w:abstractNumId w:val="1"/>
  </w:num>
  <w:num w:numId="9" w16cid:durableId="723792220">
    <w:abstractNumId w:val="7"/>
  </w:num>
  <w:num w:numId="10" w16cid:durableId="1570074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BDB"/>
    <w:rsid w:val="000043C7"/>
    <w:rsid w:val="00010631"/>
    <w:rsid w:val="0001260A"/>
    <w:rsid w:val="00013EE5"/>
    <w:rsid w:val="0002288D"/>
    <w:rsid w:val="00025BB3"/>
    <w:rsid w:val="000267BE"/>
    <w:rsid w:val="000276EC"/>
    <w:rsid w:val="00030542"/>
    <w:rsid w:val="00030626"/>
    <w:rsid w:val="000376C9"/>
    <w:rsid w:val="00044FD2"/>
    <w:rsid w:val="00046120"/>
    <w:rsid w:val="00060688"/>
    <w:rsid w:val="00064274"/>
    <w:rsid w:val="000644AC"/>
    <w:rsid w:val="00066214"/>
    <w:rsid w:val="00071857"/>
    <w:rsid w:val="000723DB"/>
    <w:rsid w:val="00073BA7"/>
    <w:rsid w:val="00074159"/>
    <w:rsid w:val="000749C2"/>
    <w:rsid w:val="00085173"/>
    <w:rsid w:val="000879A7"/>
    <w:rsid w:val="00087E66"/>
    <w:rsid w:val="000908BC"/>
    <w:rsid w:val="00092E6E"/>
    <w:rsid w:val="0009423B"/>
    <w:rsid w:val="000942FE"/>
    <w:rsid w:val="000950D6"/>
    <w:rsid w:val="000976A8"/>
    <w:rsid w:val="000B0344"/>
    <w:rsid w:val="000B50D5"/>
    <w:rsid w:val="000B5619"/>
    <w:rsid w:val="000C00C6"/>
    <w:rsid w:val="000D2F91"/>
    <w:rsid w:val="000F0C14"/>
    <w:rsid w:val="00102DFD"/>
    <w:rsid w:val="00103F21"/>
    <w:rsid w:val="00117D10"/>
    <w:rsid w:val="001214CA"/>
    <w:rsid w:val="00122191"/>
    <w:rsid w:val="00126D83"/>
    <w:rsid w:val="00130819"/>
    <w:rsid w:val="0013162D"/>
    <w:rsid w:val="00143AC4"/>
    <w:rsid w:val="00151015"/>
    <w:rsid w:val="00153005"/>
    <w:rsid w:val="00164190"/>
    <w:rsid w:val="00170338"/>
    <w:rsid w:val="00183C4F"/>
    <w:rsid w:val="001A1F94"/>
    <w:rsid w:val="001B0D49"/>
    <w:rsid w:val="001C6180"/>
    <w:rsid w:val="001C64FB"/>
    <w:rsid w:val="001C7994"/>
    <w:rsid w:val="001D0469"/>
    <w:rsid w:val="001D3244"/>
    <w:rsid w:val="001D6BB9"/>
    <w:rsid w:val="001E5B3D"/>
    <w:rsid w:val="001E7BF2"/>
    <w:rsid w:val="001F4E1E"/>
    <w:rsid w:val="001F54D9"/>
    <w:rsid w:val="001F71C2"/>
    <w:rsid w:val="00204A23"/>
    <w:rsid w:val="00212F31"/>
    <w:rsid w:val="00220F35"/>
    <w:rsid w:val="00223960"/>
    <w:rsid w:val="002309B6"/>
    <w:rsid w:val="00230A03"/>
    <w:rsid w:val="00232DEF"/>
    <w:rsid w:val="002456FD"/>
    <w:rsid w:val="0025052C"/>
    <w:rsid w:val="00263DBB"/>
    <w:rsid w:val="00276BDC"/>
    <w:rsid w:val="00281686"/>
    <w:rsid w:val="00283436"/>
    <w:rsid w:val="00290E90"/>
    <w:rsid w:val="002911A2"/>
    <w:rsid w:val="00292312"/>
    <w:rsid w:val="002962D1"/>
    <w:rsid w:val="00297EF5"/>
    <w:rsid w:val="002A2E4B"/>
    <w:rsid w:val="002A4D62"/>
    <w:rsid w:val="002A5CB2"/>
    <w:rsid w:val="002B6B4F"/>
    <w:rsid w:val="002C1C1F"/>
    <w:rsid w:val="002C36A1"/>
    <w:rsid w:val="002D1C0A"/>
    <w:rsid w:val="002D3B4B"/>
    <w:rsid w:val="002F26C5"/>
    <w:rsid w:val="00301D89"/>
    <w:rsid w:val="00301F4F"/>
    <w:rsid w:val="00302C64"/>
    <w:rsid w:val="003052ED"/>
    <w:rsid w:val="00310E70"/>
    <w:rsid w:val="00316553"/>
    <w:rsid w:val="00317004"/>
    <w:rsid w:val="00317FBC"/>
    <w:rsid w:val="003203E5"/>
    <w:rsid w:val="003215FB"/>
    <w:rsid w:val="00332F28"/>
    <w:rsid w:val="003333ED"/>
    <w:rsid w:val="00333D79"/>
    <w:rsid w:val="0034437A"/>
    <w:rsid w:val="0035697A"/>
    <w:rsid w:val="003621BE"/>
    <w:rsid w:val="0036426F"/>
    <w:rsid w:val="00364C49"/>
    <w:rsid w:val="00365867"/>
    <w:rsid w:val="003670FB"/>
    <w:rsid w:val="0037011C"/>
    <w:rsid w:val="003846D0"/>
    <w:rsid w:val="003A2BFF"/>
    <w:rsid w:val="003A3D5D"/>
    <w:rsid w:val="003A5E76"/>
    <w:rsid w:val="003A6389"/>
    <w:rsid w:val="003B1C13"/>
    <w:rsid w:val="003B5B4E"/>
    <w:rsid w:val="003B7521"/>
    <w:rsid w:val="003C68B5"/>
    <w:rsid w:val="003C7748"/>
    <w:rsid w:val="003D2A17"/>
    <w:rsid w:val="003E13A8"/>
    <w:rsid w:val="003E58CF"/>
    <w:rsid w:val="003E7053"/>
    <w:rsid w:val="003F6D55"/>
    <w:rsid w:val="00403629"/>
    <w:rsid w:val="00405A65"/>
    <w:rsid w:val="004071BB"/>
    <w:rsid w:val="0041339E"/>
    <w:rsid w:val="00415060"/>
    <w:rsid w:val="00417098"/>
    <w:rsid w:val="00417A87"/>
    <w:rsid w:val="00424B0A"/>
    <w:rsid w:val="0042648E"/>
    <w:rsid w:val="004311FE"/>
    <w:rsid w:val="00432661"/>
    <w:rsid w:val="004446DB"/>
    <w:rsid w:val="00446DE6"/>
    <w:rsid w:val="004739B5"/>
    <w:rsid w:val="004761A2"/>
    <w:rsid w:val="00490B55"/>
    <w:rsid w:val="00493FCA"/>
    <w:rsid w:val="004961C8"/>
    <w:rsid w:val="004973ED"/>
    <w:rsid w:val="004B3F77"/>
    <w:rsid w:val="004B791A"/>
    <w:rsid w:val="004C0B05"/>
    <w:rsid w:val="004C3C10"/>
    <w:rsid w:val="004D6A08"/>
    <w:rsid w:val="004D6EA8"/>
    <w:rsid w:val="004E25A5"/>
    <w:rsid w:val="004F50B7"/>
    <w:rsid w:val="00502861"/>
    <w:rsid w:val="005133C1"/>
    <w:rsid w:val="00516DA0"/>
    <w:rsid w:val="00521CEE"/>
    <w:rsid w:val="00525B53"/>
    <w:rsid w:val="00527D25"/>
    <w:rsid w:val="00533316"/>
    <w:rsid w:val="00540B5A"/>
    <w:rsid w:val="00547429"/>
    <w:rsid w:val="00550EFA"/>
    <w:rsid w:val="00551104"/>
    <w:rsid w:val="005552CA"/>
    <w:rsid w:val="00564E4A"/>
    <w:rsid w:val="00577633"/>
    <w:rsid w:val="00580A8E"/>
    <w:rsid w:val="00583927"/>
    <w:rsid w:val="005924A2"/>
    <w:rsid w:val="00592759"/>
    <w:rsid w:val="00594087"/>
    <w:rsid w:val="005942ED"/>
    <w:rsid w:val="00594B2D"/>
    <w:rsid w:val="00597855"/>
    <w:rsid w:val="005A2894"/>
    <w:rsid w:val="005B10F1"/>
    <w:rsid w:val="005B2830"/>
    <w:rsid w:val="005B4AD3"/>
    <w:rsid w:val="005B4BCA"/>
    <w:rsid w:val="005C0C1C"/>
    <w:rsid w:val="005C2E95"/>
    <w:rsid w:val="005C3DBE"/>
    <w:rsid w:val="005C4B50"/>
    <w:rsid w:val="005C4D57"/>
    <w:rsid w:val="005C5482"/>
    <w:rsid w:val="005C5D35"/>
    <w:rsid w:val="005D0C1E"/>
    <w:rsid w:val="005D1848"/>
    <w:rsid w:val="005E023F"/>
    <w:rsid w:val="005E12FA"/>
    <w:rsid w:val="005E7379"/>
    <w:rsid w:val="005F0E02"/>
    <w:rsid w:val="005F20B1"/>
    <w:rsid w:val="005F36A9"/>
    <w:rsid w:val="006006B1"/>
    <w:rsid w:val="00603599"/>
    <w:rsid w:val="00603B91"/>
    <w:rsid w:val="006130F3"/>
    <w:rsid w:val="0061758A"/>
    <w:rsid w:val="0062675D"/>
    <w:rsid w:val="00626BDE"/>
    <w:rsid w:val="00626E4E"/>
    <w:rsid w:val="0063241B"/>
    <w:rsid w:val="00643D35"/>
    <w:rsid w:val="00644BFE"/>
    <w:rsid w:val="006455B0"/>
    <w:rsid w:val="0065520B"/>
    <w:rsid w:val="00661E39"/>
    <w:rsid w:val="00663A7A"/>
    <w:rsid w:val="00693614"/>
    <w:rsid w:val="006A7F6F"/>
    <w:rsid w:val="006B3DE9"/>
    <w:rsid w:val="006B621A"/>
    <w:rsid w:val="006C0421"/>
    <w:rsid w:val="006D696F"/>
    <w:rsid w:val="006E1A4F"/>
    <w:rsid w:val="006E6EF0"/>
    <w:rsid w:val="0070097A"/>
    <w:rsid w:val="00703F99"/>
    <w:rsid w:val="00706F13"/>
    <w:rsid w:val="007145D5"/>
    <w:rsid w:val="007165C5"/>
    <w:rsid w:val="0072016E"/>
    <w:rsid w:val="00721ECD"/>
    <w:rsid w:val="00731E3B"/>
    <w:rsid w:val="007412EC"/>
    <w:rsid w:val="0074421B"/>
    <w:rsid w:val="007502A1"/>
    <w:rsid w:val="007553D0"/>
    <w:rsid w:val="007610BE"/>
    <w:rsid w:val="00763449"/>
    <w:rsid w:val="0077358B"/>
    <w:rsid w:val="00780167"/>
    <w:rsid w:val="00783A3C"/>
    <w:rsid w:val="007912BE"/>
    <w:rsid w:val="00794F14"/>
    <w:rsid w:val="007A4783"/>
    <w:rsid w:val="007A7BBC"/>
    <w:rsid w:val="007C301A"/>
    <w:rsid w:val="007C7D7C"/>
    <w:rsid w:val="007D5C6A"/>
    <w:rsid w:val="007E421C"/>
    <w:rsid w:val="007E55A7"/>
    <w:rsid w:val="00802A37"/>
    <w:rsid w:val="00804716"/>
    <w:rsid w:val="008103DF"/>
    <w:rsid w:val="008112ED"/>
    <w:rsid w:val="008139A7"/>
    <w:rsid w:val="00816603"/>
    <w:rsid w:val="00822E5F"/>
    <w:rsid w:val="00825C61"/>
    <w:rsid w:val="00853277"/>
    <w:rsid w:val="00853B23"/>
    <w:rsid w:val="00860380"/>
    <w:rsid w:val="00870612"/>
    <w:rsid w:val="008734EC"/>
    <w:rsid w:val="00876D27"/>
    <w:rsid w:val="00893B47"/>
    <w:rsid w:val="00894142"/>
    <w:rsid w:val="008B05D1"/>
    <w:rsid w:val="008B37C6"/>
    <w:rsid w:val="008B3F56"/>
    <w:rsid w:val="008C65E4"/>
    <w:rsid w:val="008C6D71"/>
    <w:rsid w:val="008D05C8"/>
    <w:rsid w:val="008E44F1"/>
    <w:rsid w:val="008E4AB0"/>
    <w:rsid w:val="008E5769"/>
    <w:rsid w:val="008F2DC8"/>
    <w:rsid w:val="008F39BF"/>
    <w:rsid w:val="00902320"/>
    <w:rsid w:val="00902403"/>
    <w:rsid w:val="00912413"/>
    <w:rsid w:val="00922F57"/>
    <w:rsid w:val="009324F2"/>
    <w:rsid w:val="009421C5"/>
    <w:rsid w:val="009442AC"/>
    <w:rsid w:val="009500E4"/>
    <w:rsid w:val="009555FC"/>
    <w:rsid w:val="00957DCE"/>
    <w:rsid w:val="00961AF9"/>
    <w:rsid w:val="00963575"/>
    <w:rsid w:val="00966C62"/>
    <w:rsid w:val="00975703"/>
    <w:rsid w:val="0098599D"/>
    <w:rsid w:val="00987B32"/>
    <w:rsid w:val="00987DA4"/>
    <w:rsid w:val="0099076D"/>
    <w:rsid w:val="009A2975"/>
    <w:rsid w:val="009A2A3F"/>
    <w:rsid w:val="009A6F2F"/>
    <w:rsid w:val="009A6F60"/>
    <w:rsid w:val="009B0910"/>
    <w:rsid w:val="009B1754"/>
    <w:rsid w:val="009C4217"/>
    <w:rsid w:val="009D536B"/>
    <w:rsid w:val="009D60AE"/>
    <w:rsid w:val="009E6117"/>
    <w:rsid w:val="009E76D6"/>
    <w:rsid w:val="009F148C"/>
    <w:rsid w:val="009F2087"/>
    <w:rsid w:val="009F3E1A"/>
    <w:rsid w:val="00A079FE"/>
    <w:rsid w:val="00A169F7"/>
    <w:rsid w:val="00A35186"/>
    <w:rsid w:val="00A36218"/>
    <w:rsid w:val="00A3737A"/>
    <w:rsid w:val="00A412A5"/>
    <w:rsid w:val="00A4237F"/>
    <w:rsid w:val="00A5127B"/>
    <w:rsid w:val="00A5336E"/>
    <w:rsid w:val="00A5439D"/>
    <w:rsid w:val="00A60742"/>
    <w:rsid w:val="00A649BE"/>
    <w:rsid w:val="00A717EB"/>
    <w:rsid w:val="00A72EC1"/>
    <w:rsid w:val="00A82F60"/>
    <w:rsid w:val="00A86B58"/>
    <w:rsid w:val="00A879AD"/>
    <w:rsid w:val="00A9125F"/>
    <w:rsid w:val="00A914BD"/>
    <w:rsid w:val="00A939BF"/>
    <w:rsid w:val="00AB05B3"/>
    <w:rsid w:val="00AB2888"/>
    <w:rsid w:val="00AB4EB6"/>
    <w:rsid w:val="00AC2E0E"/>
    <w:rsid w:val="00AC508D"/>
    <w:rsid w:val="00AD001A"/>
    <w:rsid w:val="00AD013A"/>
    <w:rsid w:val="00AD1A0A"/>
    <w:rsid w:val="00AD2761"/>
    <w:rsid w:val="00AE3B47"/>
    <w:rsid w:val="00AF4DA4"/>
    <w:rsid w:val="00B035C5"/>
    <w:rsid w:val="00B10D52"/>
    <w:rsid w:val="00B1525B"/>
    <w:rsid w:val="00B248E1"/>
    <w:rsid w:val="00B249AD"/>
    <w:rsid w:val="00B24A57"/>
    <w:rsid w:val="00B256E3"/>
    <w:rsid w:val="00B35CB3"/>
    <w:rsid w:val="00B4144A"/>
    <w:rsid w:val="00B4610C"/>
    <w:rsid w:val="00B51EA0"/>
    <w:rsid w:val="00B536CE"/>
    <w:rsid w:val="00B6077B"/>
    <w:rsid w:val="00B67137"/>
    <w:rsid w:val="00B70E5F"/>
    <w:rsid w:val="00B72369"/>
    <w:rsid w:val="00B72870"/>
    <w:rsid w:val="00B8661E"/>
    <w:rsid w:val="00B870CA"/>
    <w:rsid w:val="00B87CCA"/>
    <w:rsid w:val="00B93552"/>
    <w:rsid w:val="00BA6389"/>
    <w:rsid w:val="00BB353A"/>
    <w:rsid w:val="00BC0866"/>
    <w:rsid w:val="00BC4133"/>
    <w:rsid w:val="00BD7BB9"/>
    <w:rsid w:val="00BE6052"/>
    <w:rsid w:val="00BE6AF5"/>
    <w:rsid w:val="00BE6CF8"/>
    <w:rsid w:val="00C06EE9"/>
    <w:rsid w:val="00C118EA"/>
    <w:rsid w:val="00C312F8"/>
    <w:rsid w:val="00C33E6A"/>
    <w:rsid w:val="00C36DBA"/>
    <w:rsid w:val="00C41E62"/>
    <w:rsid w:val="00C44ABC"/>
    <w:rsid w:val="00C64383"/>
    <w:rsid w:val="00C6474F"/>
    <w:rsid w:val="00C715A4"/>
    <w:rsid w:val="00C773F4"/>
    <w:rsid w:val="00C77EB9"/>
    <w:rsid w:val="00C91537"/>
    <w:rsid w:val="00C96AB4"/>
    <w:rsid w:val="00C97C42"/>
    <w:rsid w:val="00CA189D"/>
    <w:rsid w:val="00CA61AC"/>
    <w:rsid w:val="00CB0E00"/>
    <w:rsid w:val="00CB133C"/>
    <w:rsid w:val="00CB4359"/>
    <w:rsid w:val="00CC1C39"/>
    <w:rsid w:val="00CC3A0F"/>
    <w:rsid w:val="00CE564C"/>
    <w:rsid w:val="00CF50F6"/>
    <w:rsid w:val="00CF6C5F"/>
    <w:rsid w:val="00D00264"/>
    <w:rsid w:val="00D03977"/>
    <w:rsid w:val="00D10CC4"/>
    <w:rsid w:val="00D16219"/>
    <w:rsid w:val="00D165FC"/>
    <w:rsid w:val="00D34C03"/>
    <w:rsid w:val="00D34EAD"/>
    <w:rsid w:val="00D35FDE"/>
    <w:rsid w:val="00D40455"/>
    <w:rsid w:val="00D414BD"/>
    <w:rsid w:val="00D461C8"/>
    <w:rsid w:val="00D51AFE"/>
    <w:rsid w:val="00D5511A"/>
    <w:rsid w:val="00D60A28"/>
    <w:rsid w:val="00D66D4E"/>
    <w:rsid w:val="00D82D62"/>
    <w:rsid w:val="00D8501C"/>
    <w:rsid w:val="00DA0555"/>
    <w:rsid w:val="00DA48AC"/>
    <w:rsid w:val="00DC1EF7"/>
    <w:rsid w:val="00DC2939"/>
    <w:rsid w:val="00DC2C7D"/>
    <w:rsid w:val="00DC3915"/>
    <w:rsid w:val="00DD3603"/>
    <w:rsid w:val="00DD3EA3"/>
    <w:rsid w:val="00DD6F08"/>
    <w:rsid w:val="00DD7877"/>
    <w:rsid w:val="00DE2EFA"/>
    <w:rsid w:val="00DE3082"/>
    <w:rsid w:val="00DE7865"/>
    <w:rsid w:val="00E01CEE"/>
    <w:rsid w:val="00E054F3"/>
    <w:rsid w:val="00E0582C"/>
    <w:rsid w:val="00E15645"/>
    <w:rsid w:val="00E23A32"/>
    <w:rsid w:val="00E25012"/>
    <w:rsid w:val="00E5554C"/>
    <w:rsid w:val="00E65F36"/>
    <w:rsid w:val="00E660F3"/>
    <w:rsid w:val="00E71C94"/>
    <w:rsid w:val="00E7273E"/>
    <w:rsid w:val="00E8334C"/>
    <w:rsid w:val="00E8341F"/>
    <w:rsid w:val="00E93BE6"/>
    <w:rsid w:val="00E95B52"/>
    <w:rsid w:val="00EA12B8"/>
    <w:rsid w:val="00EB2712"/>
    <w:rsid w:val="00EC0907"/>
    <w:rsid w:val="00EC095C"/>
    <w:rsid w:val="00EC1CD9"/>
    <w:rsid w:val="00ED09C1"/>
    <w:rsid w:val="00ED16F3"/>
    <w:rsid w:val="00EF2C0C"/>
    <w:rsid w:val="00F07E64"/>
    <w:rsid w:val="00F10056"/>
    <w:rsid w:val="00F10640"/>
    <w:rsid w:val="00F1118D"/>
    <w:rsid w:val="00F115F9"/>
    <w:rsid w:val="00F171EB"/>
    <w:rsid w:val="00F32604"/>
    <w:rsid w:val="00F33A1B"/>
    <w:rsid w:val="00F34446"/>
    <w:rsid w:val="00F4027C"/>
    <w:rsid w:val="00F43341"/>
    <w:rsid w:val="00F43A31"/>
    <w:rsid w:val="00F461FF"/>
    <w:rsid w:val="00F51E53"/>
    <w:rsid w:val="00F54A08"/>
    <w:rsid w:val="00F62547"/>
    <w:rsid w:val="00F63248"/>
    <w:rsid w:val="00F701B2"/>
    <w:rsid w:val="00F70343"/>
    <w:rsid w:val="00F72921"/>
    <w:rsid w:val="00FA1706"/>
    <w:rsid w:val="00FA2F27"/>
    <w:rsid w:val="00FA6B60"/>
    <w:rsid w:val="00FB0E0D"/>
    <w:rsid w:val="00FB7FF2"/>
    <w:rsid w:val="00FC6C15"/>
    <w:rsid w:val="00FC76ED"/>
    <w:rsid w:val="00FD0332"/>
    <w:rsid w:val="00FD0A7A"/>
    <w:rsid w:val="00FF2546"/>
    <w:rsid w:val="00FF27F4"/>
    <w:rsid w:val="00FF456E"/>
    <w:rsid w:val="00FF50EB"/>
    <w:rsid w:val="00FF6024"/>
    <w:rsid w:val="00FF6AB8"/>
    <w:rsid w:val="19A8C3BD"/>
    <w:rsid w:val="4783FFD0"/>
    <w:rsid w:val="5959A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2031E411-E32E-48CA-8BFA-C715C96C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spacing w:before="40" w:after="0"/>
      <w:outlineLvl w:val="4"/>
    </w:pPr>
    <w:rPr>
      <w:rFonts w:eastAsiaTheme="majorEastAsia" w:cstheme="majorBidi"/>
      <w:b/>
      <w:color w:val="005F83"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aliases w:val="Bullet List,Bullet list,NFP GP Bulleted List,Recommendation,List Paragraph1,L,List Paragraph11,List Paragraph Number,Bullet point,Content descriptions,bullet point list,List Paragraph2,Bulleted list,1 heading,Bulletr List Paragraph,列出段落"/>
    <w:basedOn w:val="Normal"/>
    <w:link w:val="ListParagraphChar"/>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paragraph" w:styleId="Revision">
    <w:name w:val="Revision"/>
    <w:hidden/>
    <w:uiPriority w:val="99"/>
    <w:semiHidden/>
    <w:rsid w:val="00364C49"/>
    <w:pPr>
      <w:spacing w:after="0" w:line="240" w:lineRule="auto"/>
    </w:pPr>
    <w:rPr>
      <w:rFonts w:ascii="Arial" w:hAnsi="Arial"/>
    </w:rPr>
  </w:style>
  <w:style w:type="character" w:styleId="CommentReference">
    <w:name w:val="annotation reference"/>
    <w:basedOn w:val="DefaultParagraphFont"/>
    <w:uiPriority w:val="99"/>
    <w:semiHidden/>
    <w:unhideWhenUsed/>
    <w:rsid w:val="00BA6389"/>
    <w:rPr>
      <w:sz w:val="16"/>
      <w:szCs w:val="16"/>
    </w:rPr>
  </w:style>
  <w:style w:type="paragraph" w:styleId="CommentText">
    <w:name w:val="annotation text"/>
    <w:basedOn w:val="Normal"/>
    <w:link w:val="CommentTextChar"/>
    <w:uiPriority w:val="99"/>
    <w:unhideWhenUsed/>
    <w:rsid w:val="00BA6389"/>
    <w:pPr>
      <w:spacing w:line="240" w:lineRule="auto"/>
    </w:pPr>
    <w:rPr>
      <w:sz w:val="20"/>
      <w:szCs w:val="20"/>
    </w:rPr>
  </w:style>
  <w:style w:type="character" w:customStyle="1" w:styleId="CommentTextChar">
    <w:name w:val="Comment Text Char"/>
    <w:basedOn w:val="DefaultParagraphFont"/>
    <w:link w:val="CommentText"/>
    <w:uiPriority w:val="99"/>
    <w:rsid w:val="00BA63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6389"/>
    <w:rPr>
      <w:b/>
      <w:bCs/>
    </w:rPr>
  </w:style>
  <w:style w:type="character" w:customStyle="1" w:styleId="CommentSubjectChar">
    <w:name w:val="Comment Subject Char"/>
    <w:basedOn w:val="CommentTextChar"/>
    <w:link w:val="CommentSubject"/>
    <w:uiPriority w:val="99"/>
    <w:semiHidden/>
    <w:rsid w:val="00BA6389"/>
    <w:rPr>
      <w:rFonts w:ascii="Arial" w:hAnsi="Arial"/>
      <w:b/>
      <w:bCs/>
      <w:sz w:val="20"/>
      <w:szCs w:val="20"/>
    </w:rPr>
  </w:style>
  <w:style w:type="character" w:styleId="Mention">
    <w:name w:val="Mention"/>
    <w:basedOn w:val="DefaultParagraphFont"/>
    <w:uiPriority w:val="99"/>
    <w:unhideWhenUsed/>
    <w:rsid w:val="007A7BBC"/>
    <w:rPr>
      <w:color w:val="2B579A"/>
      <w:shd w:val="clear" w:color="auto" w:fill="E1DFDD"/>
    </w:rPr>
  </w:style>
  <w:style w:type="character" w:styleId="FollowedHyperlink">
    <w:name w:val="FollowedHyperlink"/>
    <w:basedOn w:val="DefaultParagraphFont"/>
    <w:uiPriority w:val="99"/>
    <w:semiHidden/>
    <w:unhideWhenUsed/>
    <w:rsid w:val="007A7BBC"/>
    <w:rPr>
      <w:color w:val="954F72" w:themeColor="followedHyperlink"/>
      <w:u w:val="single"/>
    </w:rPr>
  </w:style>
  <w:style w:type="character" w:customStyle="1" w:styleId="normaltextrun">
    <w:name w:val="normaltextrun"/>
    <w:basedOn w:val="DefaultParagraphFont"/>
    <w:rsid w:val="0034437A"/>
  </w:style>
  <w:style w:type="character" w:customStyle="1" w:styleId="eop">
    <w:name w:val="eop"/>
    <w:basedOn w:val="DefaultParagraphFont"/>
    <w:rsid w:val="0034437A"/>
  </w:style>
  <w:style w:type="character" w:customStyle="1" w:styleId="ListParagraphChar">
    <w:name w:val="List Paragraph Char"/>
    <w:aliases w:val="Bullet List Char,Bullet list Char,NFP GP Bulleted List Char,Recommendation Char,List Paragraph1 Char,L Char,List Paragraph11 Char,List Paragraph Number Char,Bullet point Char,Content descriptions Char,bullet point list Char,列出段落 Char"/>
    <w:basedOn w:val="DefaultParagraphFont"/>
    <w:link w:val="ListParagraph"/>
    <w:uiPriority w:val="34"/>
    <w:qFormat/>
    <w:rsid w:val="00FF6024"/>
    <w:rPr>
      <w:rFonts w:ascii="Arial" w:hAnsi="Arial"/>
    </w:rPr>
  </w:style>
  <w:style w:type="paragraph" w:styleId="NormalWeb">
    <w:name w:val="Normal (Web)"/>
    <w:basedOn w:val="Normal"/>
    <w:uiPriority w:val="99"/>
    <w:semiHidden/>
    <w:unhideWhenUsed/>
    <w:rsid w:val="00CE564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2">
      <w:bodyDiv w:val="1"/>
      <w:marLeft w:val="0"/>
      <w:marRight w:val="0"/>
      <w:marTop w:val="0"/>
      <w:marBottom w:val="0"/>
      <w:divBdr>
        <w:top w:val="none" w:sz="0" w:space="0" w:color="auto"/>
        <w:left w:val="none" w:sz="0" w:space="0" w:color="auto"/>
        <w:bottom w:val="none" w:sz="0" w:space="0" w:color="auto"/>
        <w:right w:val="none" w:sz="0" w:space="0" w:color="auto"/>
      </w:divBdr>
    </w:div>
    <w:div w:id="48038688">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33565171">
      <w:bodyDiv w:val="1"/>
      <w:marLeft w:val="0"/>
      <w:marRight w:val="0"/>
      <w:marTop w:val="0"/>
      <w:marBottom w:val="0"/>
      <w:divBdr>
        <w:top w:val="none" w:sz="0" w:space="0" w:color="auto"/>
        <w:left w:val="none" w:sz="0" w:space="0" w:color="auto"/>
        <w:bottom w:val="none" w:sz="0" w:space="0" w:color="auto"/>
        <w:right w:val="none" w:sz="0" w:space="0" w:color="auto"/>
      </w:divBdr>
    </w:div>
    <w:div w:id="143280649">
      <w:bodyDiv w:val="1"/>
      <w:marLeft w:val="0"/>
      <w:marRight w:val="0"/>
      <w:marTop w:val="0"/>
      <w:marBottom w:val="0"/>
      <w:divBdr>
        <w:top w:val="none" w:sz="0" w:space="0" w:color="auto"/>
        <w:left w:val="none" w:sz="0" w:space="0" w:color="auto"/>
        <w:bottom w:val="none" w:sz="0" w:space="0" w:color="auto"/>
        <w:right w:val="none" w:sz="0" w:space="0" w:color="auto"/>
      </w:divBdr>
    </w:div>
    <w:div w:id="154155222">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
    <w:div w:id="247617175">
      <w:bodyDiv w:val="1"/>
      <w:marLeft w:val="0"/>
      <w:marRight w:val="0"/>
      <w:marTop w:val="0"/>
      <w:marBottom w:val="0"/>
      <w:divBdr>
        <w:top w:val="none" w:sz="0" w:space="0" w:color="auto"/>
        <w:left w:val="none" w:sz="0" w:space="0" w:color="auto"/>
        <w:bottom w:val="none" w:sz="0" w:space="0" w:color="auto"/>
        <w:right w:val="none" w:sz="0" w:space="0" w:color="auto"/>
      </w:divBdr>
    </w:div>
    <w:div w:id="373698344">
      <w:bodyDiv w:val="1"/>
      <w:marLeft w:val="0"/>
      <w:marRight w:val="0"/>
      <w:marTop w:val="0"/>
      <w:marBottom w:val="0"/>
      <w:divBdr>
        <w:top w:val="none" w:sz="0" w:space="0" w:color="auto"/>
        <w:left w:val="none" w:sz="0" w:space="0" w:color="auto"/>
        <w:bottom w:val="none" w:sz="0" w:space="0" w:color="auto"/>
        <w:right w:val="none" w:sz="0" w:space="0" w:color="auto"/>
      </w:divBdr>
    </w:div>
    <w:div w:id="401024087">
      <w:bodyDiv w:val="1"/>
      <w:marLeft w:val="0"/>
      <w:marRight w:val="0"/>
      <w:marTop w:val="0"/>
      <w:marBottom w:val="0"/>
      <w:divBdr>
        <w:top w:val="none" w:sz="0" w:space="0" w:color="auto"/>
        <w:left w:val="none" w:sz="0" w:space="0" w:color="auto"/>
        <w:bottom w:val="none" w:sz="0" w:space="0" w:color="auto"/>
        <w:right w:val="none" w:sz="0" w:space="0" w:color="auto"/>
      </w:divBdr>
    </w:div>
    <w:div w:id="432286429">
      <w:bodyDiv w:val="1"/>
      <w:marLeft w:val="0"/>
      <w:marRight w:val="0"/>
      <w:marTop w:val="0"/>
      <w:marBottom w:val="0"/>
      <w:divBdr>
        <w:top w:val="none" w:sz="0" w:space="0" w:color="auto"/>
        <w:left w:val="none" w:sz="0" w:space="0" w:color="auto"/>
        <w:bottom w:val="none" w:sz="0" w:space="0" w:color="auto"/>
        <w:right w:val="none" w:sz="0" w:space="0" w:color="auto"/>
      </w:divBdr>
    </w:div>
    <w:div w:id="460727732">
      <w:bodyDiv w:val="1"/>
      <w:marLeft w:val="0"/>
      <w:marRight w:val="0"/>
      <w:marTop w:val="0"/>
      <w:marBottom w:val="0"/>
      <w:divBdr>
        <w:top w:val="none" w:sz="0" w:space="0" w:color="auto"/>
        <w:left w:val="none" w:sz="0" w:space="0" w:color="auto"/>
        <w:bottom w:val="none" w:sz="0" w:space="0" w:color="auto"/>
        <w:right w:val="none" w:sz="0" w:space="0" w:color="auto"/>
      </w:divBdr>
    </w:div>
    <w:div w:id="482619214">
      <w:bodyDiv w:val="1"/>
      <w:marLeft w:val="0"/>
      <w:marRight w:val="0"/>
      <w:marTop w:val="0"/>
      <w:marBottom w:val="0"/>
      <w:divBdr>
        <w:top w:val="none" w:sz="0" w:space="0" w:color="auto"/>
        <w:left w:val="none" w:sz="0" w:space="0" w:color="auto"/>
        <w:bottom w:val="none" w:sz="0" w:space="0" w:color="auto"/>
        <w:right w:val="none" w:sz="0" w:space="0" w:color="auto"/>
      </w:divBdr>
    </w:div>
    <w:div w:id="486671851">
      <w:bodyDiv w:val="1"/>
      <w:marLeft w:val="0"/>
      <w:marRight w:val="0"/>
      <w:marTop w:val="0"/>
      <w:marBottom w:val="0"/>
      <w:divBdr>
        <w:top w:val="none" w:sz="0" w:space="0" w:color="auto"/>
        <w:left w:val="none" w:sz="0" w:space="0" w:color="auto"/>
        <w:bottom w:val="none" w:sz="0" w:space="0" w:color="auto"/>
        <w:right w:val="none" w:sz="0" w:space="0" w:color="auto"/>
      </w:divBdr>
    </w:div>
    <w:div w:id="558705917">
      <w:bodyDiv w:val="1"/>
      <w:marLeft w:val="0"/>
      <w:marRight w:val="0"/>
      <w:marTop w:val="0"/>
      <w:marBottom w:val="0"/>
      <w:divBdr>
        <w:top w:val="none" w:sz="0" w:space="0" w:color="auto"/>
        <w:left w:val="none" w:sz="0" w:space="0" w:color="auto"/>
        <w:bottom w:val="none" w:sz="0" w:space="0" w:color="auto"/>
        <w:right w:val="none" w:sz="0" w:space="0" w:color="auto"/>
      </w:divBdr>
    </w:div>
    <w:div w:id="571887112">
      <w:bodyDiv w:val="1"/>
      <w:marLeft w:val="0"/>
      <w:marRight w:val="0"/>
      <w:marTop w:val="0"/>
      <w:marBottom w:val="0"/>
      <w:divBdr>
        <w:top w:val="none" w:sz="0" w:space="0" w:color="auto"/>
        <w:left w:val="none" w:sz="0" w:space="0" w:color="auto"/>
        <w:bottom w:val="none" w:sz="0" w:space="0" w:color="auto"/>
        <w:right w:val="none" w:sz="0" w:space="0" w:color="auto"/>
      </w:divBdr>
    </w:div>
    <w:div w:id="617377083">
      <w:bodyDiv w:val="1"/>
      <w:marLeft w:val="0"/>
      <w:marRight w:val="0"/>
      <w:marTop w:val="0"/>
      <w:marBottom w:val="0"/>
      <w:divBdr>
        <w:top w:val="none" w:sz="0" w:space="0" w:color="auto"/>
        <w:left w:val="none" w:sz="0" w:space="0" w:color="auto"/>
        <w:bottom w:val="none" w:sz="0" w:space="0" w:color="auto"/>
        <w:right w:val="none" w:sz="0" w:space="0" w:color="auto"/>
      </w:divBdr>
    </w:div>
    <w:div w:id="667103390">
      <w:bodyDiv w:val="1"/>
      <w:marLeft w:val="0"/>
      <w:marRight w:val="0"/>
      <w:marTop w:val="0"/>
      <w:marBottom w:val="0"/>
      <w:divBdr>
        <w:top w:val="none" w:sz="0" w:space="0" w:color="auto"/>
        <w:left w:val="none" w:sz="0" w:space="0" w:color="auto"/>
        <w:bottom w:val="none" w:sz="0" w:space="0" w:color="auto"/>
        <w:right w:val="none" w:sz="0" w:space="0" w:color="auto"/>
      </w:divBdr>
    </w:div>
    <w:div w:id="672026984">
      <w:bodyDiv w:val="1"/>
      <w:marLeft w:val="0"/>
      <w:marRight w:val="0"/>
      <w:marTop w:val="0"/>
      <w:marBottom w:val="0"/>
      <w:divBdr>
        <w:top w:val="none" w:sz="0" w:space="0" w:color="auto"/>
        <w:left w:val="none" w:sz="0" w:space="0" w:color="auto"/>
        <w:bottom w:val="none" w:sz="0" w:space="0" w:color="auto"/>
        <w:right w:val="none" w:sz="0" w:space="0" w:color="auto"/>
      </w:divBdr>
    </w:div>
    <w:div w:id="737629620">
      <w:bodyDiv w:val="1"/>
      <w:marLeft w:val="0"/>
      <w:marRight w:val="0"/>
      <w:marTop w:val="0"/>
      <w:marBottom w:val="0"/>
      <w:divBdr>
        <w:top w:val="none" w:sz="0" w:space="0" w:color="auto"/>
        <w:left w:val="none" w:sz="0" w:space="0" w:color="auto"/>
        <w:bottom w:val="none" w:sz="0" w:space="0" w:color="auto"/>
        <w:right w:val="none" w:sz="0" w:space="0" w:color="auto"/>
      </w:divBdr>
    </w:div>
    <w:div w:id="746925106">
      <w:bodyDiv w:val="1"/>
      <w:marLeft w:val="0"/>
      <w:marRight w:val="0"/>
      <w:marTop w:val="0"/>
      <w:marBottom w:val="0"/>
      <w:divBdr>
        <w:top w:val="none" w:sz="0" w:space="0" w:color="auto"/>
        <w:left w:val="none" w:sz="0" w:space="0" w:color="auto"/>
        <w:bottom w:val="none" w:sz="0" w:space="0" w:color="auto"/>
        <w:right w:val="none" w:sz="0" w:space="0" w:color="auto"/>
      </w:divBdr>
    </w:div>
    <w:div w:id="829293464">
      <w:bodyDiv w:val="1"/>
      <w:marLeft w:val="0"/>
      <w:marRight w:val="0"/>
      <w:marTop w:val="0"/>
      <w:marBottom w:val="0"/>
      <w:divBdr>
        <w:top w:val="none" w:sz="0" w:space="0" w:color="auto"/>
        <w:left w:val="none" w:sz="0" w:space="0" w:color="auto"/>
        <w:bottom w:val="none" w:sz="0" w:space="0" w:color="auto"/>
        <w:right w:val="none" w:sz="0" w:space="0" w:color="auto"/>
      </w:divBdr>
    </w:div>
    <w:div w:id="890264068">
      <w:bodyDiv w:val="1"/>
      <w:marLeft w:val="0"/>
      <w:marRight w:val="0"/>
      <w:marTop w:val="0"/>
      <w:marBottom w:val="0"/>
      <w:divBdr>
        <w:top w:val="none" w:sz="0" w:space="0" w:color="auto"/>
        <w:left w:val="none" w:sz="0" w:space="0" w:color="auto"/>
        <w:bottom w:val="none" w:sz="0" w:space="0" w:color="auto"/>
        <w:right w:val="none" w:sz="0" w:space="0" w:color="auto"/>
      </w:divBdr>
    </w:div>
    <w:div w:id="894707747">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
    <w:div w:id="957684071">
      <w:bodyDiv w:val="1"/>
      <w:marLeft w:val="0"/>
      <w:marRight w:val="0"/>
      <w:marTop w:val="0"/>
      <w:marBottom w:val="0"/>
      <w:divBdr>
        <w:top w:val="none" w:sz="0" w:space="0" w:color="auto"/>
        <w:left w:val="none" w:sz="0" w:space="0" w:color="auto"/>
        <w:bottom w:val="none" w:sz="0" w:space="0" w:color="auto"/>
        <w:right w:val="none" w:sz="0" w:space="0" w:color="auto"/>
      </w:divBdr>
    </w:div>
    <w:div w:id="1000237621">
      <w:bodyDiv w:val="1"/>
      <w:marLeft w:val="0"/>
      <w:marRight w:val="0"/>
      <w:marTop w:val="0"/>
      <w:marBottom w:val="0"/>
      <w:divBdr>
        <w:top w:val="none" w:sz="0" w:space="0" w:color="auto"/>
        <w:left w:val="none" w:sz="0" w:space="0" w:color="auto"/>
        <w:bottom w:val="none" w:sz="0" w:space="0" w:color="auto"/>
        <w:right w:val="none" w:sz="0" w:space="0" w:color="auto"/>
      </w:divBdr>
    </w:div>
    <w:div w:id="1005477267">
      <w:bodyDiv w:val="1"/>
      <w:marLeft w:val="0"/>
      <w:marRight w:val="0"/>
      <w:marTop w:val="0"/>
      <w:marBottom w:val="0"/>
      <w:divBdr>
        <w:top w:val="none" w:sz="0" w:space="0" w:color="auto"/>
        <w:left w:val="none" w:sz="0" w:space="0" w:color="auto"/>
        <w:bottom w:val="none" w:sz="0" w:space="0" w:color="auto"/>
        <w:right w:val="none" w:sz="0" w:space="0" w:color="auto"/>
      </w:divBdr>
    </w:div>
    <w:div w:id="1260062854">
      <w:bodyDiv w:val="1"/>
      <w:marLeft w:val="0"/>
      <w:marRight w:val="0"/>
      <w:marTop w:val="0"/>
      <w:marBottom w:val="0"/>
      <w:divBdr>
        <w:top w:val="none" w:sz="0" w:space="0" w:color="auto"/>
        <w:left w:val="none" w:sz="0" w:space="0" w:color="auto"/>
        <w:bottom w:val="none" w:sz="0" w:space="0" w:color="auto"/>
        <w:right w:val="none" w:sz="0" w:space="0" w:color="auto"/>
      </w:divBdr>
    </w:div>
    <w:div w:id="1328560756">
      <w:bodyDiv w:val="1"/>
      <w:marLeft w:val="0"/>
      <w:marRight w:val="0"/>
      <w:marTop w:val="0"/>
      <w:marBottom w:val="0"/>
      <w:divBdr>
        <w:top w:val="none" w:sz="0" w:space="0" w:color="auto"/>
        <w:left w:val="none" w:sz="0" w:space="0" w:color="auto"/>
        <w:bottom w:val="none" w:sz="0" w:space="0" w:color="auto"/>
        <w:right w:val="none" w:sz="0" w:space="0" w:color="auto"/>
      </w:divBdr>
    </w:div>
    <w:div w:id="1388455513">
      <w:bodyDiv w:val="1"/>
      <w:marLeft w:val="0"/>
      <w:marRight w:val="0"/>
      <w:marTop w:val="0"/>
      <w:marBottom w:val="0"/>
      <w:divBdr>
        <w:top w:val="none" w:sz="0" w:space="0" w:color="auto"/>
        <w:left w:val="none" w:sz="0" w:space="0" w:color="auto"/>
        <w:bottom w:val="none" w:sz="0" w:space="0" w:color="auto"/>
        <w:right w:val="none" w:sz="0" w:space="0" w:color="auto"/>
      </w:divBdr>
    </w:div>
    <w:div w:id="1391003117">
      <w:bodyDiv w:val="1"/>
      <w:marLeft w:val="0"/>
      <w:marRight w:val="0"/>
      <w:marTop w:val="0"/>
      <w:marBottom w:val="0"/>
      <w:divBdr>
        <w:top w:val="none" w:sz="0" w:space="0" w:color="auto"/>
        <w:left w:val="none" w:sz="0" w:space="0" w:color="auto"/>
        <w:bottom w:val="none" w:sz="0" w:space="0" w:color="auto"/>
        <w:right w:val="none" w:sz="0" w:space="0" w:color="auto"/>
      </w:divBdr>
    </w:div>
    <w:div w:id="1401095385">
      <w:bodyDiv w:val="1"/>
      <w:marLeft w:val="0"/>
      <w:marRight w:val="0"/>
      <w:marTop w:val="0"/>
      <w:marBottom w:val="0"/>
      <w:divBdr>
        <w:top w:val="none" w:sz="0" w:space="0" w:color="auto"/>
        <w:left w:val="none" w:sz="0" w:space="0" w:color="auto"/>
        <w:bottom w:val="none" w:sz="0" w:space="0" w:color="auto"/>
        <w:right w:val="none" w:sz="0" w:space="0" w:color="auto"/>
      </w:divBdr>
    </w:div>
    <w:div w:id="1440833312">
      <w:bodyDiv w:val="1"/>
      <w:marLeft w:val="0"/>
      <w:marRight w:val="0"/>
      <w:marTop w:val="0"/>
      <w:marBottom w:val="0"/>
      <w:divBdr>
        <w:top w:val="none" w:sz="0" w:space="0" w:color="auto"/>
        <w:left w:val="none" w:sz="0" w:space="0" w:color="auto"/>
        <w:bottom w:val="none" w:sz="0" w:space="0" w:color="auto"/>
        <w:right w:val="none" w:sz="0" w:space="0" w:color="auto"/>
      </w:divBdr>
    </w:div>
    <w:div w:id="1455712961">
      <w:bodyDiv w:val="1"/>
      <w:marLeft w:val="0"/>
      <w:marRight w:val="0"/>
      <w:marTop w:val="0"/>
      <w:marBottom w:val="0"/>
      <w:divBdr>
        <w:top w:val="none" w:sz="0" w:space="0" w:color="auto"/>
        <w:left w:val="none" w:sz="0" w:space="0" w:color="auto"/>
        <w:bottom w:val="none" w:sz="0" w:space="0" w:color="auto"/>
        <w:right w:val="none" w:sz="0" w:space="0" w:color="auto"/>
      </w:divBdr>
    </w:div>
    <w:div w:id="147090492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36233854">
      <w:bodyDiv w:val="1"/>
      <w:marLeft w:val="0"/>
      <w:marRight w:val="0"/>
      <w:marTop w:val="0"/>
      <w:marBottom w:val="0"/>
      <w:divBdr>
        <w:top w:val="none" w:sz="0" w:space="0" w:color="auto"/>
        <w:left w:val="none" w:sz="0" w:space="0" w:color="auto"/>
        <w:bottom w:val="none" w:sz="0" w:space="0" w:color="auto"/>
        <w:right w:val="none" w:sz="0" w:space="0" w:color="auto"/>
      </w:divBdr>
    </w:div>
    <w:div w:id="1560509362">
      <w:bodyDiv w:val="1"/>
      <w:marLeft w:val="0"/>
      <w:marRight w:val="0"/>
      <w:marTop w:val="0"/>
      <w:marBottom w:val="0"/>
      <w:divBdr>
        <w:top w:val="none" w:sz="0" w:space="0" w:color="auto"/>
        <w:left w:val="none" w:sz="0" w:space="0" w:color="auto"/>
        <w:bottom w:val="none" w:sz="0" w:space="0" w:color="auto"/>
        <w:right w:val="none" w:sz="0" w:space="0" w:color="auto"/>
      </w:divBdr>
    </w:div>
    <w:div w:id="1677079378">
      <w:bodyDiv w:val="1"/>
      <w:marLeft w:val="0"/>
      <w:marRight w:val="0"/>
      <w:marTop w:val="0"/>
      <w:marBottom w:val="0"/>
      <w:divBdr>
        <w:top w:val="none" w:sz="0" w:space="0" w:color="auto"/>
        <w:left w:val="none" w:sz="0" w:space="0" w:color="auto"/>
        <w:bottom w:val="none" w:sz="0" w:space="0" w:color="auto"/>
        <w:right w:val="none" w:sz="0" w:space="0" w:color="auto"/>
      </w:divBdr>
    </w:div>
    <w:div w:id="1709797381">
      <w:bodyDiv w:val="1"/>
      <w:marLeft w:val="0"/>
      <w:marRight w:val="0"/>
      <w:marTop w:val="0"/>
      <w:marBottom w:val="0"/>
      <w:divBdr>
        <w:top w:val="none" w:sz="0" w:space="0" w:color="auto"/>
        <w:left w:val="none" w:sz="0" w:space="0" w:color="auto"/>
        <w:bottom w:val="none" w:sz="0" w:space="0" w:color="auto"/>
        <w:right w:val="none" w:sz="0" w:space="0" w:color="auto"/>
      </w:divBdr>
    </w:div>
    <w:div w:id="1752385776">
      <w:bodyDiv w:val="1"/>
      <w:marLeft w:val="0"/>
      <w:marRight w:val="0"/>
      <w:marTop w:val="0"/>
      <w:marBottom w:val="0"/>
      <w:divBdr>
        <w:top w:val="none" w:sz="0" w:space="0" w:color="auto"/>
        <w:left w:val="none" w:sz="0" w:space="0" w:color="auto"/>
        <w:bottom w:val="none" w:sz="0" w:space="0" w:color="auto"/>
        <w:right w:val="none" w:sz="0" w:space="0" w:color="auto"/>
      </w:divBdr>
    </w:div>
    <w:div w:id="1772431939">
      <w:bodyDiv w:val="1"/>
      <w:marLeft w:val="0"/>
      <w:marRight w:val="0"/>
      <w:marTop w:val="0"/>
      <w:marBottom w:val="0"/>
      <w:divBdr>
        <w:top w:val="none" w:sz="0" w:space="0" w:color="auto"/>
        <w:left w:val="none" w:sz="0" w:space="0" w:color="auto"/>
        <w:bottom w:val="none" w:sz="0" w:space="0" w:color="auto"/>
        <w:right w:val="none" w:sz="0" w:space="0" w:color="auto"/>
      </w:divBdr>
    </w:div>
    <w:div w:id="1806387056">
      <w:bodyDiv w:val="1"/>
      <w:marLeft w:val="0"/>
      <w:marRight w:val="0"/>
      <w:marTop w:val="0"/>
      <w:marBottom w:val="0"/>
      <w:divBdr>
        <w:top w:val="none" w:sz="0" w:space="0" w:color="auto"/>
        <w:left w:val="none" w:sz="0" w:space="0" w:color="auto"/>
        <w:bottom w:val="none" w:sz="0" w:space="0" w:color="auto"/>
        <w:right w:val="none" w:sz="0" w:space="0" w:color="auto"/>
      </w:divBdr>
    </w:div>
    <w:div w:id="1815832810">
      <w:bodyDiv w:val="1"/>
      <w:marLeft w:val="0"/>
      <w:marRight w:val="0"/>
      <w:marTop w:val="0"/>
      <w:marBottom w:val="0"/>
      <w:divBdr>
        <w:top w:val="none" w:sz="0" w:space="0" w:color="auto"/>
        <w:left w:val="none" w:sz="0" w:space="0" w:color="auto"/>
        <w:bottom w:val="none" w:sz="0" w:space="0" w:color="auto"/>
        <w:right w:val="none" w:sz="0" w:space="0" w:color="auto"/>
      </w:divBdr>
    </w:div>
    <w:div w:id="1851412001">
      <w:bodyDiv w:val="1"/>
      <w:marLeft w:val="0"/>
      <w:marRight w:val="0"/>
      <w:marTop w:val="0"/>
      <w:marBottom w:val="0"/>
      <w:divBdr>
        <w:top w:val="none" w:sz="0" w:space="0" w:color="auto"/>
        <w:left w:val="none" w:sz="0" w:space="0" w:color="auto"/>
        <w:bottom w:val="none" w:sz="0" w:space="0" w:color="auto"/>
        <w:right w:val="none" w:sz="0" w:space="0" w:color="auto"/>
      </w:divBdr>
    </w:div>
    <w:div w:id="1856848863">
      <w:bodyDiv w:val="1"/>
      <w:marLeft w:val="0"/>
      <w:marRight w:val="0"/>
      <w:marTop w:val="0"/>
      <w:marBottom w:val="0"/>
      <w:divBdr>
        <w:top w:val="none" w:sz="0" w:space="0" w:color="auto"/>
        <w:left w:val="none" w:sz="0" w:space="0" w:color="auto"/>
        <w:bottom w:val="none" w:sz="0" w:space="0" w:color="auto"/>
        <w:right w:val="none" w:sz="0" w:space="0" w:color="auto"/>
      </w:divBdr>
    </w:div>
    <w:div w:id="1884711791">
      <w:bodyDiv w:val="1"/>
      <w:marLeft w:val="0"/>
      <w:marRight w:val="0"/>
      <w:marTop w:val="0"/>
      <w:marBottom w:val="0"/>
      <w:divBdr>
        <w:top w:val="none" w:sz="0" w:space="0" w:color="auto"/>
        <w:left w:val="none" w:sz="0" w:space="0" w:color="auto"/>
        <w:bottom w:val="none" w:sz="0" w:space="0" w:color="auto"/>
        <w:right w:val="none" w:sz="0" w:space="0" w:color="auto"/>
      </w:divBdr>
    </w:div>
    <w:div w:id="1929079078">
      <w:bodyDiv w:val="1"/>
      <w:marLeft w:val="0"/>
      <w:marRight w:val="0"/>
      <w:marTop w:val="0"/>
      <w:marBottom w:val="0"/>
      <w:divBdr>
        <w:top w:val="none" w:sz="0" w:space="0" w:color="auto"/>
        <w:left w:val="none" w:sz="0" w:space="0" w:color="auto"/>
        <w:bottom w:val="none" w:sz="0" w:space="0" w:color="auto"/>
        <w:right w:val="none" w:sz="0" w:space="0" w:color="auto"/>
      </w:divBdr>
    </w:div>
    <w:div w:id="1931036632">
      <w:bodyDiv w:val="1"/>
      <w:marLeft w:val="0"/>
      <w:marRight w:val="0"/>
      <w:marTop w:val="0"/>
      <w:marBottom w:val="0"/>
      <w:divBdr>
        <w:top w:val="none" w:sz="0" w:space="0" w:color="auto"/>
        <w:left w:val="none" w:sz="0" w:space="0" w:color="auto"/>
        <w:bottom w:val="none" w:sz="0" w:space="0" w:color="auto"/>
        <w:right w:val="none" w:sz="0" w:space="0" w:color="auto"/>
      </w:divBdr>
    </w:div>
    <w:div w:id="1943344070">
      <w:bodyDiv w:val="1"/>
      <w:marLeft w:val="0"/>
      <w:marRight w:val="0"/>
      <w:marTop w:val="0"/>
      <w:marBottom w:val="0"/>
      <w:divBdr>
        <w:top w:val="none" w:sz="0" w:space="0" w:color="auto"/>
        <w:left w:val="none" w:sz="0" w:space="0" w:color="auto"/>
        <w:bottom w:val="none" w:sz="0" w:space="0" w:color="auto"/>
        <w:right w:val="none" w:sz="0" w:space="0" w:color="auto"/>
      </w:divBdr>
    </w:div>
    <w:div w:id="2046710594">
      <w:bodyDiv w:val="1"/>
      <w:marLeft w:val="0"/>
      <w:marRight w:val="0"/>
      <w:marTop w:val="0"/>
      <w:marBottom w:val="0"/>
      <w:divBdr>
        <w:top w:val="none" w:sz="0" w:space="0" w:color="auto"/>
        <w:left w:val="none" w:sz="0" w:space="0" w:color="auto"/>
        <w:bottom w:val="none" w:sz="0" w:space="0" w:color="auto"/>
        <w:right w:val="none" w:sz="0" w:space="0" w:color="auto"/>
      </w:divBdr>
    </w:div>
    <w:div w:id="21111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ba.vic.gov.au/__data/assets/pdf_file/0011/98642/Sample-Form-Adjudication-Respons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ba.vic.gov.au/plumbing/security-of-payment/unpaid-claim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ba.vic.gov.au/__data/assets/pdf_file/0010/98641/SOP-Sample-Form-Payment-Schedul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nsumer.vic.gov.au/housing/building-and-renovating/defects-delays-and-insolvency/disputes-defects-and-delays" TargetMode="External"/><Relationship Id="rId20" Type="http://schemas.openxmlformats.org/officeDocument/2006/relationships/hyperlink" Target="https://www.vba.vic.gov.au/building/security-of-payment/authorised-nominating-auth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ba.vic.gov.au/building/security-of-payment" TargetMode="External"/><Relationship Id="rId5" Type="http://schemas.openxmlformats.org/officeDocument/2006/relationships/numbering" Target="numbering.xml"/><Relationship Id="rId15" Type="http://schemas.openxmlformats.org/officeDocument/2006/relationships/hyperlink" Target="https://www.vba.vic.gov.au/building/security-of-payment/authorised-nominating-authorities" TargetMode="External"/><Relationship Id="rId23" Type="http://schemas.openxmlformats.org/officeDocument/2006/relationships/hyperlink" Target="mailto:sopenquiry@vba.vic.gov.au"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vba.vic.gov.au/building/security-of-payment/authorised-nominating-author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ba.vic.gov.au/building/security-of-payme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nakos@vba.vic.gov.au\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311963D0-0A8E-457E-BD1E-C1EDDFC9D644}">
    <t:Anchor>
      <t:Comment id="664736707"/>
    </t:Anchor>
    <t:History>
      <t:Event id="{158DA498-CD3B-47C5-803A-22B50C421AA7}" time="2023-02-20T22:56:19.02Z">
        <t:Attribution userId="S::Samantha.Adrichem@vba.vic.gov.au::95ddd142-8c59-40f1-b503-a3845be0482c" userProvider="AD" userName="Samantha Adrichem"/>
        <t:Anchor>
          <t:Comment id="664736707"/>
        </t:Anchor>
        <t:Create/>
      </t:Event>
      <t:Event id="{FC5247D5-9657-49EE-8DED-03A370CC0C6D}" time="2023-02-20T22:56:19.02Z">
        <t:Attribution userId="S::Samantha.Adrichem@vba.vic.gov.au::95ddd142-8c59-40f1-b503-a3845be0482c" userProvider="AD" userName="Samantha Adrichem"/>
        <t:Anchor>
          <t:Comment id="664736707"/>
        </t:Anchor>
        <t:Assign userId="S::Shobini.Mahendra@vba.vic.gov.au::a8d12dd5-5f14-4097-a5b8-9e58911f2301" userProvider="AD" userName="Shobini Mahendra"/>
      </t:Event>
      <t:Event id="{F3C17679-42FB-4119-A0A1-569A214D2474}" time="2023-02-20T22:56:19.02Z">
        <t:Attribution userId="S::Samantha.Adrichem@vba.vic.gov.au::95ddd142-8c59-40f1-b503-a3845be0482c" userProvider="AD" userName="Samantha Adrichem"/>
        <t:Anchor>
          <t:Comment id="664736707"/>
        </t:Anchor>
        <t:SetTitle title="@Shobini Mahendra I checked your answer to the question with @Theo Blanas who provided the following feedback:We may need to explore limitation of direction to fix in relation to this scenario. We should be mindful that the RBS does not misinterpret this…"/>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Todd Bentley</DisplayName>
        <AccountId>1435</AccountId>
        <AccountType/>
      </UserInfo>
      <UserInfo>
        <DisplayName>Ann King</DisplayName>
        <AccountId>2455</AccountId>
        <AccountType/>
      </UserInfo>
      <UserInfo>
        <DisplayName>Katrina Excell</DisplayName>
        <AccountId>2129</AccountId>
        <AccountType/>
      </UserInfo>
      <UserInfo>
        <DisplayName>Dean Bozinoski</DisplayName>
        <AccountId>474</AccountId>
        <AccountType/>
      </UserInfo>
      <UserInfo>
        <DisplayName>Nicholas Nakos</DisplayName>
        <AccountId>1429</AccountId>
        <AccountType/>
      </UserInfo>
      <UserInfo>
        <DisplayName>Imica Aurora</DisplayName>
        <AccountId>2418</AccountId>
        <AccountType/>
      </UserInfo>
      <UserInfo>
        <DisplayName>Lisa Rongo</DisplayName>
        <AccountId>72</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17" ma:contentTypeDescription="Create a new document." ma:contentTypeScope="" ma:versionID="8387c26347963de2518d356112b88b64">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be6cdaf292982fcfe11245a7de0ddb74"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9921ed4d-4625-44b5-9d39-61eada7d18db"/>
    <ds:schemaRef ds:uri="21032296-8ea8-4a1d-b2c3-bb497a045d14"/>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EBE1EA12-2AA7-488C-98AD-982948B34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Nakos</dc:creator>
  <cp:keywords/>
  <dc:description/>
  <cp:lastModifiedBy>Nicholas Nakos</cp:lastModifiedBy>
  <cp:revision>7</cp:revision>
  <cp:lastPrinted>2023-03-06T01:05:00Z</cp:lastPrinted>
  <dcterms:created xsi:type="dcterms:W3CDTF">2023-03-05T23:15:00Z</dcterms:created>
  <dcterms:modified xsi:type="dcterms:W3CDTF">2023-03-06T01:05:00Z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