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FFEC" w14:textId="77777777" w:rsidR="000308F9" w:rsidRDefault="000308F9" w:rsidP="000308F9">
      <w:pPr>
        <w:spacing w:before="313" w:line="228" w:lineRule="auto"/>
        <w:ind w:left="260" w:right="4206"/>
        <w:rPr>
          <w:rFonts w:cs="Arial"/>
          <w:b/>
          <w:color w:val="003963"/>
          <w:w w:val="105"/>
          <w:sz w:val="76"/>
        </w:rPr>
      </w:pPr>
    </w:p>
    <w:p w14:paraId="04EEE8FE" w14:textId="77777777" w:rsidR="000308F9" w:rsidRDefault="000308F9" w:rsidP="000308F9">
      <w:pPr>
        <w:spacing w:before="313" w:line="228" w:lineRule="auto"/>
        <w:ind w:left="260" w:right="4206"/>
        <w:rPr>
          <w:rFonts w:cs="Arial"/>
          <w:b/>
          <w:color w:val="003963"/>
          <w:w w:val="105"/>
          <w:sz w:val="76"/>
        </w:rPr>
      </w:pPr>
    </w:p>
    <w:p w14:paraId="5EF57015" w14:textId="77777777" w:rsidR="000308F9" w:rsidRDefault="000308F9" w:rsidP="000308F9">
      <w:pPr>
        <w:spacing w:before="313" w:line="228" w:lineRule="auto"/>
        <w:ind w:left="260" w:right="4206"/>
        <w:rPr>
          <w:rFonts w:cs="Arial"/>
          <w:b/>
          <w:color w:val="003963"/>
          <w:w w:val="105"/>
          <w:sz w:val="76"/>
        </w:rPr>
      </w:pPr>
    </w:p>
    <w:p w14:paraId="2657D04A" w14:textId="77777777" w:rsidR="000308F9" w:rsidRDefault="000308F9" w:rsidP="000308F9">
      <w:pPr>
        <w:spacing w:before="313" w:line="228" w:lineRule="auto"/>
        <w:ind w:left="260" w:right="4206"/>
        <w:rPr>
          <w:rFonts w:cs="Arial"/>
          <w:b/>
          <w:color w:val="003963"/>
          <w:w w:val="105"/>
          <w:sz w:val="76"/>
        </w:rPr>
      </w:pPr>
    </w:p>
    <w:p w14:paraId="449FEBE4" w14:textId="08D9CB45" w:rsidR="000308F9" w:rsidRPr="004D4616" w:rsidRDefault="000308F9" w:rsidP="004D4616">
      <w:pPr>
        <w:pStyle w:val="Heading1"/>
      </w:pPr>
      <w:r w:rsidRPr="004D4616">
        <w:t>Regulatory Policy Statement</w:t>
      </w:r>
    </w:p>
    <w:p w14:paraId="462965C4" w14:textId="75BDF590" w:rsidR="000308F9" w:rsidRPr="004D4616" w:rsidRDefault="000308F9" w:rsidP="004D4616">
      <w:pPr>
        <w:pStyle w:val="Heading2"/>
      </w:pPr>
      <w:r w:rsidRPr="004D4616">
        <w:t>November 2023</w:t>
      </w:r>
    </w:p>
    <w:p w14:paraId="13827D64" w14:textId="77777777" w:rsidR="000308F9" w:rsidRDefault="000308F9">
      <w:pPr>
        <w:widowControl/>
        <w:autoSpaceDE/>
        <w:autoSpaceDN/>
        <w:spacing w:after="160" w:line="259" w:lineRule="auto"/>
        <w:rPr>
          <w:rFonts w:cs="Arial"/>
          <w:color w:val="005F83"/>
          <w:w w:val="110"/>
          <w:sz w:val="48"/>
        </w:rPr>
      </w:pPr>
      <w:r>
        <w:rPr>
          <w:rFonts w:cs="Arial"/>
          <w:color w:val="005F83"/>
          <w:w w:val="110"/>
          <w:sz w:val="48"/>
        </w:rPr>
        <w:br w:type="page"/>
      </w:r>
    </w:p>
    <w:p w14:paraId="2CF4D670" w14:textId="77777777" w:rsidR="000308F9" w:rsidRDefault="000308F9" w:rsidP="000308F9">
      <w:pPr>
        <w:widowControl/>
        <w:adjustRightInd w:val="0"/>
        <w:rPr>
          <w:rFonts w:ascii="VIC-Light" w:eastAsiaTheme="minorHAnsi" w:hAnsi="VIC-Light" w:cs="VIC-Light"/>
          <w:sz w:val="20"/>
          <w:szCs w:val="20"/>
          <w:lang w:val="en-AU"/>
        </w:rPr>
      </w:pPr>
    </w:p>
    <w:p w14:paraId="0FE0B29C" w14:textId="77777777" w:rsidR="000308F9" w:rsidRDefault="000308F9" w:rsidP="000308F9">
      <w:pPr>
        <w:widowControl/>
        <w:adjustRightInd w:val="0"/>
        <w:rPr>
          <w:rFonts w:ascii="VIC-Light" w:eastAsiaTheme="minorHAnsi" w:hAnsi="VIC-Light" w:cs="VIC-Light"/>
          <w:sz w:val="20"/>
          <w:szCs w:val="20"/>
          <w:lang w:val="en-AU"/>
        </w:rPr>
      </w:pPr>
    </w:p>
    <w:p w14:paraId="7DA4CAD3" w14:textId="77777777" w:rsidR="000308F9" w:rsidRDefault="000308F9" w:rsidP="000308F9">
      <w:pPr>
        <w:widowControl/>
        <w:adjustRightInd w:val="0"/>
        <w:rPr>
          <w:rFonts w:ascii="VIC-Light" w:eastAsiaTheme="minorHAnsi" w:hAnsi="VIC-Light" w:cs="VIC-Light"/>
          <w:sz w:val="20"/>
          <w:szCs w:val="20"/>
          <w:lang w:val="en-AU"/>
        </w:rPr>
      </w:pPr>
    </w:p>
    <w:p w14:paraId="1CA6E28D" w14:textId="77777777" w:rsidR="000308F9" w:rsidRDefault="000308F9" w:rsidP="000308F9">
      <w:pPr>
        <w:widowControl/>
        <w:adjustRightInd w:val="0"/>
        <w:rPr>
          <w:rFonts w:ascii="VIC-Light" w:eastAsiaTheme="minorHAnsi" w:hAnsi="VIC-Light" w:cs="VIC-Light"/>
          <w:sz w:val="20"/>
          <w:szCs w:val="20"/>
          <w:lang w:val="en-AU"/>
        </w:rPr>
      </w:pPr>
    </w:p>
    <w:p w14:paraId="4F2CAACB" w14:textId="77777777" w:rsidR="000308F9" w:rsidRDefault="000308F9" w:rsidP="000308F9">
      <w:pPr>
        <w:widowControl/>
        <w:adjustRightInd w:val="0"/>
        <w:rPr>
          <w:rFonts w:ascii="VIC-Light" w:eastAsiaTheme="minorHAnsi" w:hAnsi="VIC-Light" w:cs="VIC-Light"/>
          <w:sz w:val="20"/>
          <w:szCs w:val="20"/>
          <w:lang w:val="en-AU"/>
        </w:rPr>
      </w:pPr>
    </w:p>
    <w:p w14:paraId="5E624609" w14:textId="77777777" w:rsidR="000308F9" w:rsidRDefault="000308F9" w:rsidP="000308F9">
      <w:pPr>
        <w:widowControl/>
        <w:adjustRightInd w:val="0"/>
        <w:rPr>
          <w:rFonts w:ascii="VIC-Light" w:eastAsiaTheme="minorHAnsi" w:hAnsi="VIC-Light" w:cs="VIC-Light"/>
          <w:sz w:val="20"/>
          <w:szCs w:val="20"/>
          <w:lang w:val="en-AU"/>
        </w:rPr>
      </w:pPr>
    </w:p>
    <w:p w14:paraId="6F9C6A14" w14:textId="77777777" w:rsidR="000308F9" w:rsidRDefault="000308F9" w:rsidP="000308F9">
      <w:pPr>
        <w:widowControl/>
        <w:adjustRightInd w:val="0"/>
        <w:rPr>
          <w:rFonts w:ascii="VIC-Light" w:eastAsiaTheme="minorHAnsi" w:hAnsi="VIC-Light" w:cs="VIC-Light"/>
          <w:sz w:val="20"/>
          <w:szCs w:val="20"/>
          <w:lang w:val="en-AU"/>
        </w:rPr>
      </w:pPr>
    </w:p>
    <w:p w14:paraId="025824A7" w14:textId="77777777" w:rsidR="000308F9" w:rsidRDefault="000308F9" w:rsidP="000308F9">
      <w:pPr>
        <w:widowControl/>
        <w:adjustRightInd w:val="0"/>
        <w:rPr>
          <w:rFonts w:ascii="VIC-Light" w:eastAsiaTheme="minorHAnsi" w:hAnsi="VIC-Light" w:cs="VIC-Light"/>
          <w:sz w:val="20"/>
          <w:szCs w:val="20"/>
          <w:lang w:val="en-AU"/>
        </w:rPr>
      </w:pPr>
    </w:p>
    <w:p w14:paraId="59B7B5C2" w14:textId="77777777" w:rsidR="000308F9" w:rsidRDefault="000308F9" w:rsidP="000308F9">
      <w:pPr>
        <w:widowControl/>
        <w:adjustRightInd w:val="0"/>
        <w:rPr>
          <w:rFonts w:ascii="VIC-Light" w:eastAsiaTheme="minorHAnsi" w:hAnsi="VIC-Light" w:cs="VIC-Light"/>
          <w:sz w:val="20"/>
          <w:szCs w:val="20"/>
          <w:lang w:val="en-AU"/>
        </w:rPr>
      </w:pPr>
    </w:p>
    <w:p w14:paraId="506464A3" w14:textId="77777777" w:rsidR="000308F9" w:rsidRDefault="000308F9" w:rsidP="000308F9">
      <w:pPr>
        <w:widowControl/>
        <w:adjustRightInd w:val="0"/>
        <w:rPr>
          <w:rFonts w:ascii="VIC-Light" w:eastAsiaTheme="minorHAnsi" w:hAnsi="VIC-Light" w:cs="VIC-Light"/>
          <w:sz w:val="20"/>
          <w:szCs w:val="20"/>
          <w:lang w:val="en-AU"/>
        </w:rPr>
      </w:pPr>
    </w:p>
    <w:p w14:paraId="57714947" w14:textId="77777777" w:rsidR="000308F9" w:rsidRDefault="000308F9" w:rsidP="000308F9">
      <w:pPr>
        <w:widowControl/>
        <w:adjustRightInd w:val="0"/>
        <w:rPr>
          <w:rFonts w:ascii="VIC-Light" w:eastAsiaTheme="minorHAnsi" w:hAnsi="VIC-Light" w:cs="VIC-Light"/>
          <w:sz w:val="20"/>
          <w:szCs w:val="20"/>
          <w:lang w:val="en-AU"/>
        </w:rPr>
      </w:pPr>
    </w:p>
    <w:p w14:paraId="30609A8B" w14:textId="77777777" w:rsidR="000308F9" w:rsidRDefault="000308F9" w:rsidP="000308F9">
      <w:pPr>
        <w:widowControl/>
        <w:adjustRightInd w:val="0"/>
        <w:rPr>
          <w:rFonts w:ascii="VIC-Light" w:eastAsiaTheme="minorHAnsi" w:hAnsi="VIC-Light" w:cs="VIC-Light"/>
          <w:sz w:val="20"/>
          <w:szCs w:val="20"/>
          <w:lang w:val="en-AU"/>
        </w:rPr>
      </w:pPr>
    </w:p>
    <w:p w14:paraId="27AF6C32" w14:textId="77777777" w:rsidR="000308F9" w:rsidRDefault="000308F9" w:rsidP="000308F9">
      <w:pPr>
        <w:widowControl/>
        <w:adjustRightInd w:val="0"/>
        <w:rPr>
          <w:rFonts w:ascii="VIC-Light" w:eastAsiaTheme="minorHAnsi" w:hAnsi="VIC-Light" w:cs="VIC-Light"/>
          <w:sz w:val="20"/>
          <w:szCs w:val="20"/>
          <w:lang w:val="en-AU"/>
        </w:rPr>
      </w:pPr>
    </w:p>
    <w:p w14:paraId="321628C8" w14:textId="77777777" w:rsidR="000308F9" w:rsidRDefault="000308F9" w:rsidP="000308F9">
      <w:pPr>
        <w:widowControl/>
        <w:adjustRightInd w:val="0"/>
        <w:rPr>
          <w:rFonts w:ascii="VIC-Light" w:eastAsiaTheme="minorHAnsi" w:hAnsi="VIC-Light" w:cs="VIC-Light"/>
          <w:sz w:val="20"/>
          <w:szCs w:val="20"/>
          <w:lang w:val="en-AU"/>
        </w:rPr>
      </w:pPr>
    </w:p>
    <w:p w14:paraId="5CAD8176" w14:textId="77777777" w:rsidR="000308F9" w:rsidRDefault="000308F9" w:rsidP="000308F9">
      <w:pPr>
        <w:widowControl/>
        <w:adjustRightInd w:val="0"/>
        <w:rPr>
          <w:rFonts w:ascii="VIC-Light" w:eastAsiaTheme="minorHAnsi" w:hAnsi="VIC-Light" w:cs="VIC-Light"/>
          <w:sz w:val="20"/>
          <w:szCs w:val="20"/>
          <w:lang w:val="en-AU"/>
        </w:rPr>
      </w:pPr>
    </w:p>
    <w:p w14:paraId="1B2B484E" w14:textId="77777777" w:rsidR="000308F9" w:rsidRDefault="000308F9" w:rsidP="000308F9">
      <w:pPr>
        <w:widowControl/>
        <w:adjustRightInd w:val="0"/>
        <w:rPr>
          <w:rFonts w:ascii="VIC-Light" w:eastAsiaTheme="minorHAnsi" w:hAnsi="VIC-Light" w:cs="VIC-Light"/>
          <w:sz w:val="20"/>
          <w:szCs w:val="20"/>
          <w:lang w:val="en-AU"/>
        </w:rPr>
      </w:pPr>
    </w:p>
    <w:p w14:paraId="1486E919" w14:textId="77777777" w:rsidR="000308F9" w:rsidRDefault="000308F9" w:rsidP="000308F9">
      <w:pPr>
        <w:widowControl/>
        <w:adjustRightInd w:val="0"/>
        <w:rPr>
          <w:rFonts w:ascii="VIC-Light" w:eastAsiaTheme="minorHAnsi" w:hAnsi="VIC-Light" w:cs="VIC-Light"/>
          <w:sz w:val="20"/>
          <w:szCs w:val="20"/>
          <w:lang w:val="en-AU"/>
        </w:rPr>
      </w:pPr>
    </w:p>
    <w:p w14:paraId="707DD4AB" w14:textId="77777777" w:rsidR="000308F9" w:rsidRDefault="000308F9" w:rsidP="000308F9">
      <w:pPr>
        <w:widowControl/>
        <w:adjustRightInd w:val="0"/>
        <w:rPr>
          <w:rFonts w:ascii="VIC-Light" w:eastAsiaTheme="minorHAnsi" w:hAnsi="VIC-Light" w:cs="VIC-Light"/>
          <w:sz w:val="20"/>
          <w:szCs w:val="20"/>
          <w:lang w:val="en-AU"/>
        </w:rPr>
      </w:pPr>
    </w:p>
    <w:p w14:paraId="1875D2CC" w14:textId="77777777" w:rsidR="000308F9" w:rsidRDefault="000308F9" w:rsidP="000308F9">
      <w:pPr>
        <w:widowControl/>
        <w:adjustRightInd w:val="0"/>
        <w:rPr>
          <w:rFonts w:ascii="VIC-Light" w:eastAsiaTheme="minorHAnsi" w:hAnsi="VIC-Light" w:cs="VIC-Light"/>
          <w:sz w:val="20"/>
          <w:szCs w:val="20"/>
          <w:lang w:val="en-AU"/>
        </w:rPr>
      </w:pPr>
    </w:p>
    <w:p w14:paraId="480C37FA" w14:textId="77777777" w:rsidR="000308F9" w:rsidRDefault="000308F9" w:rsidP="000308F9">
      <w:pPr>
        <w:widowControl/>
        <w:adjustRightInd w:val="0"/>
        <w:rPr>
          <w:rFonts w:ascii="VIC-Light" w:eastAsiaTheme="minorHAnsi" w:hAnsi="VIC-Light" w:cs="VIC-Light"/>
          <w:sz w:val="20"/>
          <w:szCs w:val="20"/>
          <w:lang w:val="en-AU"/>
        </w:rPr>
      </w:pPr>
    </w:p>
    <w:p w14:paraId="160906D7" w14:textId="77777777" w:rsidR="000308F9" w:rsidRDefault="000308F9" w:rsidP="000308F9">
      <w:pPr>
        <w:widowControl/>
        <w:adjustRightInd w:val="0"/>
        <w:rPr>
          <w:rFonts w:ascii="VIC-Light" w:eastAsiaTheme="minorHAnsi" w:hAnsi="VIC-Light" w:cs="VIC-Light"/>
          <w:sz w:val="20"/>
          <w:szCs w:val="20"/>
          <w:lang w:val="en-AU"/>
        </w:rPr>
      </w:pPr>
    </w:p>
    <w:p w14:paraId="19F08BBB" w14:textId="77777777" w:rsidR="000308F9" w:rsidRDefault="000308F9" w:rsidP="000308F9">
      <w:pPr>
        <w:widowControl/>
        <w:adjustRightInd w:val="0"/>
        <w:rPr>
          <w:rFonts w:ascii="VIC-Light" w:eastAsiaTheme="minorHAnsi" w:hAnsi="VIC-Light" w:cs="VIC-Light"/>
          <w:sz w:val="20"/>
          <w:szCs w:val="20"/>
          <w:lang w:val="en-AU"/>
        </w:rPr>
      </w:pPr>
    </w:p>
    <w:p w14:paraId="2D38ED0F" w14:textId="77777777" w:rsidR="000308F9" w:rsidRDefault="000308F9" w:rsidP="000308F9">
      <w:pPr>
        <w:widowControl/>
        <w:adjustRightInd w:val="0"/>
        <w:rPr>
          <w:rFonts w:ascii="VIC-Light" w:eastAsiaTheme="minorHAnsi" w:hAnsi="VIC-Light" w:cs="VIC-Light"/>
          <w:sz w:val="20"/>
          <w:szCs w:val="20"/>
          <w:lang w:val="en-AU"/>
        </w:rPr>
      </w:pPr>
    </w:p>
    <w:p w14:paraId="08FAD24D" w14:textId="77777777" w:rsidR="000308F9" w:rsidRDefault="000308F9" w:rsidP="000308F9">
      <w:pPr>
        <w:widowControl/>
        <w:adjustRightInd w:val="0"/>
        <w:rPr>
          <w:rFonts w:ascii="VIC-Light" w:eastAsiaTheme="minorHAnsi" w:hAnsi="VIC-Light" w:cs="VIC-Light"/>
          <w:sz w:val="20"/>
          <w:szCs w:val="20"/>
          <w:lang w:val="en-AU"/>
        </w:rPr>
      </w:pPr>
    </w:p>
    <w:p w14:paraId="72A5A773" w14:textId="77777777" w:rsidR="000308F9" w:rsidRDefault="000308F9" w:rsidP="000308F9">
      <w:pPr>
        <w:widowControl/>
        <w:adjustRightInd w:val="0"/>
        <w:rPr>
          <w:rFonts w:ascii="VIC-Light" w:eastAsiaTheme="minorHAnsi" w:hAnsi="VIC-Light" w:cs="VIC-Light"/>
          <w:sz w:val="20"/>
          <w:szCs w:val="20"/>
          <w:lang w:val="en-AU"/>
        </w:rPr>
      </w:pPr>
    </w:p>
    <w:p w14:paraId="6B0A86E9" w14:textId="77777777" w:rsidR="002843C2" w:rsidRDefault="002843C2" w:rsidP="000308F9">
      <w:pPr>
        <w:widowControl/>
        <w:adjustRightInd w:val="0"/>
        <w:rPr>
          <w:rFonts w:ascii="VIC-Light" w:eastAsiaTheme="minorHAnsi" w:hAnsi="VIC-Light" w:cs="VIC-Light"/>
          <w:sz w:val="20"/>
          <w:szCs w:val="20"/>
          <w:lang w:val="en-AU"/>
        </w:rPr>
      </w:pPr>
    </w:p>
    <w:p w14:paraId="5F357499" w14:textId="77777777" w:rsidR="002843C2" w:rsidRDefault="002843C2" w:rsidP="000308F9">
      <w:pPr>
        <w:widowControl/>
        <w:adjustRightInd w:val="0"/>
        <w:rPr>
          <w:rFonts w:ascii="VIC-Light" w:eastAsiaTheme="minorHAnsi" w:hAnsi="VIC-Light" w:cs="VIC-Light"/>
          <w:sz w:val="20"/>
          <w:szCs w:val="20"/>
          <w:lang w:val="en-AU"/>
        </w:rPr>
      </w:pPr>
    </w:p>
    <w:p w14:paraId="20BE681E" w14:textId="3DE5AD98" w:rsidR="000308F9" w:rsidRPr="004D4616" w:rsidRDefault="000308F9" w:rsidP="004D4616">
      <w:pPr>
        <w:rPr>
          <w:rFonts w:eastAsiaTheme="minorHAnsi"/>
        </w:rPr>
      </w:pPr>
      <w:r w:rsidRPr="004D4616">
        <w:t>The Victorian Building Authority respectfully acknowledges the</w:t>
      </w:r>
      <w:r w:rsidR="002843C2" w:rsidRPr="004D4616">
        <w:t xml:space="preserve"> </w:t>
      </w:r>
      <w:r w:rsidRPr="004D4616">
        <w:t>Traditional Owners and custodians of the land and water upon which we</w:t>
      </w:r>
      <w:r w:rsidR="002843C2" w:rsidRPr="004D4616">
        <w:t xml:space="preserve"> </w:t>
      </w:r>
      <w:r w:rsidRPr="004D4616">
        <w:t>rely. We pay our respects to their Elders past,</w:t>
      </w:r>
      <w:r w:rsidRPr="004D4616">
        <w:rPr>
          <w:rFonts w:eastAsiaTheme="minorHAnsi"/>
        </w:rPr>
        <w:t xml:space="preserve"> present and emerging. We</w:t>
      </w:r>
      <w:r w:rsidR="002843C2" w:rsidRPr="004D4616">
        <w:rPr>
          <w:rFonts w:eastAsiaTheme="minorHAnsi"/>
        </w:rPr>
        <w:t xml:space="preserve"> </w:t>
      </w:r>
      <w:r w:rsidRPr="004D4616">
        <w:rPr>
          <w:rFonts w:eastAsiaTheme="minorHAnsi"/>
        </w:rPr>
        <w:t>recognise and value the ongoing contribution of Aboriginal peoples and</w:t>
      </w:r>
      <w:r w:rsidR="002843C2" w:rsidRPr="004D4616">
        <w:rPr>
          <w:rFonts w:eastAsiaTheme="minorHAnsi"/>
        </w:rPr>
        <w:t xml:space="preserve"> </w:t>
      </w:r>
      <w:r w:rsidRPr="004D4616">
        <w:rPr>
          <w:rFonts w:eastAsiaTheme="minorHAnsi"/>
        </w:rPr>
        <w:t>communities to Victorian life.</w:t>
      </w:r>
    </w:p>
    <w:p w14:paraId="2197F4BE" w14:textId="77777777" w:rsidR="002843C2" w:rsidRPr="004D4616" w:rsidRDefault="002843C2" w:rsidP="004D4616">
      <w:pPr>
        <w:rPr>
          <w:rFonts w:eastAsiaTheme="minorHAnsi"/>
        </w:rPr>
      </w:pPr>
    </w:p>
    <w:p w14:paraId="620D5881" w14:textId="35FA9787" w:rsidR="000308F9" w:rsidRDefault="000308F9" w:rsidP="004D4616">
      <w:pPr>
        <w:rPr>
          <w:rFonts w:eastAsiaTheme="minorHAnsi"/>
        </w:rPr>
      </w:pPr>
      <w:r w:rsidRPr="004D4616">
        <w:rPr>
          <w:rFonts w:eastAsiaTheme="minorHAnsi"/>
        </w:rPr>
        <w:t>We embrace the spirit of reconciliation, working towards equality of</w:t>
      </w:r>
      <w:r w:rsidR="002843C2" w:rsidRPr="004D4616">
        <w:rPr>
          <w:rFonts w:eastAsiaTheme="minorHAnsi"/>
        </w:rPr>
        <w:t xml:space="preserve"> </w:t>
      </w:r>
      <w:r w:rsidRPr="004D4616">
        <w:rPr>
          <w:rFonts w:eastAsiaTheme="minorHAnsi"/>
        </w:rPr>
        <w:t>outcomes and an equal voice.</w:t>
      </w:r>
    </w:p>
    <w:p w14:paraId="0E32B51C" w14:textId="77777777" w:rsidR="004D4616" w:rsidRPr="004D4616" w:rsidRDefault="004D4616" w:rsidP="004D4616">
      <w:pPr>
        <w:rPr>
          <w:rFonts w:eastAsiaTheme="minorHAnsi"/>
        </w:rPr>
      </w:pPr>
    </w:p>
    <w:p w14:paraId="1B03A42C" w14:textId="6D4571A6" w:rsidR="000308F9" w:rsidRPr="004D4616" w:rsidRDefault="000308F9" w:rsidP="004D4616">
      <w:pPr>
        <w:rPr>
          <w:rFonts w:eastAsiaTheme="minorHAnsi"/>
        </w:rPr>
      </w:pPr>
      <w:r w:rsidRPr="004D4616">
        <w:rPr>
          <w:rFonts w:eastAsiaTheme="minorHAnsi"/>
        </w:rPr>
        <w:t>© State of Victoria, Victorian Building Authority 2023</w:t>
      </w:r>
    </w:p>
    <w:p w14:paraId="1C25E737" w14:textId="77777777" w:rsidR="000308F9" w:rsidRDefault="000308F9" w:rsidP="004D4616">
      <w:pPr>
        <w:rPr>
          <w:rFonts w:ascii="VIC-Light" w:eastAsiaTheme="minorHAnsi" w:hAnsi="VIC-Light" w:cs="VIC-Light"/>
          <w:sz w:val="20"/>
          <w:szCs w:val="20"/>
          <w:lang w:val="en-AU"/>
        </w:rPr>
      </w:pPr>
      <w:r>
        <w:rPr>
          <w:rFonts w:ascii="VIC-Light" w:eastAsiaTheme="minorHAnsi" w:hAnsi="VIC-Light" w:cs="VIC-Light"/>
          <w:sz w:val="20"/>
          <w:szCs w:val="20"/>
          <w:lang w:val="en-AU"/>
        </w:rPr>
        <w:br w:type="page"/>
      </w:r>
    </w:p>
    <w:p w14:paraId="3C6A3B83" w14:textId="77777777" w:rsidR="000308F9" w:rsidRDefault="000308F9" w:rsidP="004D4616">
      <w:pPr>
        <w:pStyle w:val="Heading1"/>
        <w:rPr>
          <w:rFonts w:eastAsiaTheme="minorHAnsi"/>
        </w:rPr>
      </w:pPr>
      <w:r>
        <w:rPr>
          <w:rFonts w:eastAsiaTheme="minorHAnsi"/>
        </w:rPr>
        <w:lastRenderedPageBreak/>
        <w:t>Regulatory Policy Statement</w:t>
      </w:r>
    </w:p>
    <w:p w14:paraId="2A17D027" w14:textId="2348F3A0" w:rsidR="000308F9" w:rsidRDefault="000308F9" w:rsidP="004D4616">
      <w:pPr>
        <w:pStyle w:val="Heading2"/>
        <w:rPr>
          <w:rFonts w:eastAsiaTheme="minorHAnsi"/>
        </w:rPr>
      </w:pPr>
      <w:r>
        <w:rPr>
          <w:rFonts w:eastAsiaTheme="minorHAnsi"/>
        </w:rPr>
        <w:t>This Statement explains how the Victorian Building Authority</w:t>
      </w:r>
      <w:r w:rsidR="004D4616">
        <w:rPr>
          <w:rFonts w:eastAsiaTheme="minorHAnsi"/>
        </w:rPr>
        <w:t xml:space="preserve"> </w:t>
      </w:r>
      <w:r>
        <w:rPr>
          <w:rFonts w:eastAsiaTheme="minorHAnsi"/>
        </w:rPr>
        <w:t>(the Authority) delivers on its role within the building and</w:t>
      </w:r>
    </w:p>
    <w:p w14:paraId="6E992BAD" w14:textId="77777777" w:rsidR="000308F9" w:rsidRDefault="000308F9" w:rsidP="004D4616">
      <w:pPr>
        <w:pStyle w:val="Heading2"/>
        <w:rPr>
          <w:rFonts w:eastAsiaTheme="minorHAnsi"/>
        </w:rPr>
      </w:pPr>
      <w:r>
        <w:rPr>
          <w:rFonts w:eastAsiaTheme="minorHAnsi"/>
        </w:rPr>
        <w:t>plumbing regulatory system.</w:t>
      </w:r>
    </w:p>
    <w:p w14:paraId="6FAABC5C" w14:textId="77777777" w:rsidR="000308F9" w:rsidRDefault="000308F9" w:rsidP="004D4616">
      <w:pPr>
        <w:pStyle w:val="Heading2"/>
        <w:rPr>
          <w:rFonts w:eastAsiaTheme="minorHAnsi"/>
        </w:rPr>
      </w:pPr>
    </w:p>
    <w:p w14:paraId="052D7EF1" w14:textId="5B47E1B5" w:rsidR="000308F9" w:rsidRDefault="000308F9" w:rsidP="004D4616">
      <w:pPr>
        <w:pStyle w:val="Heading2"/>
        <w:rPr>
          <w:rFonts w:eastAsiaTheme="minorHAnsi"/>
        </w:rPr>
      </w:pPr>
      <w:r>
        <w:rPr>
          <w:rFonts w:eastAsiaTheme="minorHAnsi"/>
        </w:rPr>
        <w:t>This Statement:</w:t>
      </w:r>
    </w:p>
    <w:p w14:paraId="27445A92" w14:textId="3CE137E4" w:rsidR="004D4616" w:rsidRDefault="004D4616" w:rsidP="004D4616">
      <w:pPr>
        <w:pStyle w:val="Heading3"/>
        <w:rPr>
          <w:rFonts w:eastAsiaTheme="minorHAnsi"/>
        </w:rPr>
      </w:pPr>
      <w:r>
        <w:br/>
      </w:r>
      <w:r w:rsidR="000308F9">
        <w:rPr>
          <w:rFonts w:eastAsiaTheme="minorHAnsi"/>
        </w:rPr>
        <w:t>Sets out the Authority’s objective to improve consumer</w:t>
      </w:r>
      <w:r w:rsidR="008B0EF8">
        <w:rPr>
          <w:rFonts w:eastAsiaTheme="minorHAnsi"/>
        </w:rPr>
        <w:t xml:space="preserve"> </w:t>
      </w:r>
      <w:r w:rsidR="000308F9">
        <w:rPr>
          <w:rFonts w:eastAsiaTheme="minorHAnsi"/>
        </w:rPr>
        <w:t>outcomes as a Trusted Regulator</w:t>
      </w:r>
    </w:p>
    <w:p w14:paraId="52A8FAAC" w14:textId="637F5748" w:rsidR="000308F9" w:rsidRPr="004D4616" w:rsidRDefault="000308F9" w:rsidP="004D4616">
      <w:pPr>
        <w:pStyle w:val="Heading3"/>
        <w:numPr>
          <w:ilvl w:val="0"/>
          <w:numId w:val="39"/>
        </w:numPr>
      </w:pPr>
      <w:r w:rsidRPr="004D4616">
        <w:t>Pages 4-9</w:t>
      </w:r>
    </w:p>
    <w:p w14:paraId="00F67E53" w14:textId="2CD9ED01" w:rsidR="004D4616" w:rsidRDefault="004D4616" w:rsidP="004D4616">
      <w:pPr>
        <w:pStyle w:val="Heading3"/>
        <w:rPr>
          <w:rFonts w:eastAsiaTheme="minorHAnsi"/>
        </w:rPr>
      </w:pPr>
      <w:r>
        <w:rPr>
          <w:rFonts w:eastAsiaTheme="minorHAnsi"/>
        </w:rPr>
        <w:br/>
      </w:r>
      <w:r w:rsidR="000308F9">
        <w:rPr>
          <w:rFonts w:eastAsiaTheme="minorHAnsi"/>
        </w:rPr>
        <w:t xml:space="preserve">Describes who we regulate and how we use our </w:t>
      </w:r>
      <w:proofErr w:type="gramStart"/>
      <w:r w:rsidR="000308F9">
        <w:rPr>
          <w:rFonts w:eastAsiaTheme="minorHAnsi"/>
        </w:rPr>
        <w:t>powers</w:t>
      </w:r>
      <w:proofErr w:type="gramEnd"/>
    </w:p>
    <w:p w14:paraId="651C1DE9" w14:textId="27358E1E" w:rsidR="000308F9" w:rsidRPr="004D4616" w:rsidRDefault="000308F9" w:rsidP="004D4616">
      <w:pPr>
        <w:pStyle w:val="Heading3"/>
        <w:numPr>
          <w:ilvl w:val="0"/>
          <w:numId w:val="38"/>
        </w:numPr>
        <w:rPr>
          <w:rFonts w:eastAsiaTheme="minorHAnsi"/>
        </w:rPr>
      </w:pPr>
      <w:r>
        <w:rPr>
          <w:rFonts w:eastAsiaTheme="minorHAnsi"/>
        </w:rPr>
        <w:t>Pages 1</w:t>
      </w:r>
      <w:r w:rsidR="00F6683E">
        <w:rPr>
          <w:rFonts w:eastAsiaTheme="minorHAnsi"/>
        </w:rPr>
        <w:t>1</w:t>
      </w:r>
      <w:r>
        <w:rPr>
          <w:rFonts w:eastAsiaTheme="minorHAnsi"/>
        </w:rPr>
        <w:t>-1</w:t>
      </w:r>
      <w:r w:rsidR="00F6683E">
        <w:rPr>
          <w:rFonts w:eastAsiaTheme="minorHAnsi"/>
        </w:rPr>
        <w:t>6</w:t>
      </w:r>
    </w:p>
    <w:p w14:paraId="19A88CA5" w14:textId="24ECD5FC" w:rsidR="004D4616" w:rsidRDefault="004D4616" w:rsidP="004D4616">
      <w:pPr>
        <w:pStyle w:val="Heading3"/>
        <w:rPr>
          <w:rFonts w:eastAsiaTheme="minorHAnsi"/>
        </w:rPr>
      </w:pPr>
      <w:r>
        <w:rPr>
          <w:rFonts w:eastAsiaTheme="minorHAnsi"/>
        </w:rPr>
        <w:br/>
      </w:r>
      <w:r w:rsidR="000308F9">
        <w:rPr>
          <w:rFonts w:eastAsiaTheme="minorHAnsi"/>
        </w:rPr>
        <w:t>Outlines how we regulate, prioritise our resources and</w:t>
      </w:r>
      <w:r>
        <w:rPr>
          <w:rFonts w:eastAsiaTheme="minorHAnsi"/>
        </w:rPr>
        <w:t xml:space="preserve"> </w:t>
      </w:r>
      <w:r w:rsidR="000308F9">
        <w:rPr>
          <w:rFonts w:eastAsiaTheme="minorHAnsi"/>
        </w:rPr>
        <w:t xml:space="preserve">approach </w:t>
      </w:r>
      <w:proofErr w:type="gramStart"/>
      <w:r w:rsidR="000308F9">
        <w:rPr>
          <w:rFonts w:eastAsiaTheme="minorHAnsi"/>
        </w:rPr>
        <w:t>compliance</w:t>
      </w:r>
      <w:proofErr w:type="gramEnd"/>
      <w:r w:rsidR="000308F9">
        <w:rPr>
          <w:rFonts w:eastAsiaTheme="minorHAnsi"/>
        </w:rPr>
        <w:tab/>
      </w:r>
      <w:r w:rsidR="000308F9">
        <w:rPr>
          <w:rFonts w:eastAsiaTheme="minorHAnsi"/>
        </w:rPr>
        <w:tab/>
      </w:r>
      <w:r w:rsidR="000308F9">
        <w:rPr>
          <w:rFonts w:eastAsiaTheme="minorHAnsi"/>
        </w:rPr>
        <w:tab/>
      </w:r>
      <w:r w:rsidR="000308F9">
        <w:rPr>
          <w:rFonts w:eastAsiaTheme="minorHAnsi"/>
        </w:rPr>
        <w:tab/>
      </w:r>
      <w:r w:rsidR="000308F9">
        <w:rPr>
          <w:rFonts w:eastAsiaTheme="minorHAnsi"/>
        </w:rPr>
        <w:tab/>
      </w:r>
      <w:r w:rsidR="000308F9">
        <w:rPr>
          <w:rFonts w:eastAsiaTheme="minorHAnsi"/>
        </w:rPr>
        <w:tab/>
      </w:r>
      <w:r w:rsidR="000308F9">
        <w:rPr>
          <w:rFonts w:eastAsiaTheme="minorHAnsi"/>
        </w:rPr>
        <w:tab/>
      </w:r>
      <w:r w:rsidR="000308F9">
        <w:rPr>
          <w:rFonts w:eastAsiaTheme="minorHAnsi"/>
        </w:rPr>
        <w:tab/>
      </w:r>
      <w:r w:rsidR="000308F9">
        <w:rPr>
          <w:rFonts w:eastAsiaTheme="minorHAnsi"/>
        </w:rPr>
        <w:tab/>
      </w:r>
    </w:p>
    <w:p w14:paraId="2AB85348" w14:textId="214E24B9" w:rsidR="004D4616" w:rsidRDefault="000308F9" w:rsidP="004D4616">
      <w:pPr>
        <w:pStyle w:val="Heading3"/>
        <w:numPr>
          <w:ilvl w:val="0"/>
          <w:numId w:val="38"/>
        </w:numPr>
        <w:rPr>
          <w:rFonts w:eastAsiaTheme="minorHAnsi"/>
        </w:rPr>
      </w:pPr>
      <w:r w:rsidRPr="004D4616">
        <w:t>Pages 1</w:t>
      </w:r>
      <w:r w:rsidR="00F6683E">
        <w:t>7</w:t>
      </w:r>
      <w:r w:rsidRPr="004D4616">
        <w:t>-1</w:t>
      </w:r>
      <w:r w:rsidR="00F6683E">
        <w:t>8</w:t>
      </w:r>
    </w:p>
    <w:p w14:paraId="48D968F8" w14:textId="37C3A4EA" w:rsidR="004D4616" w:rsidRDefault="004D4616" w:rsidP="004D4616">
      <w:pPr>
        <w:pStyle w:val="Heading3"/>
        <w:rPr>
          <w:rFonts w:eastAsiaTheme="minorHAnsi"/>
        </w:rPr>
      </w:pPr>
      <w:r>
        <w:rPr>
          <w:rFonts w:eastAsiaTheme="minorHAnsi"/>
        </w:rPr>
        <w:br/>
      </w:r>
      <w:r w:rsidR="000308F9" w:rsidRPr="004D4616">
        <w:rPr>
          <w:rFonts w:eastAsiaTheme="minorHAnsi"/>
        </w:rPr>
        <w:t>Summarises the building and plumbing regulatory system</w:t>
      </w:r>
      <w:r>
        <w:rPr>
          <w:rFonts w:eastAsiaTheme="minorHAnsi"/>
        </w:rPr>
        <w:t xml:space="preserve"> </w:t>
      </w:r>
      <w:r w:rsidR="000308F9">
        <w:rPr>
          <w:rFonts w:eastAsiaTheme="minorHAnsi"/>
        </w:rPr>
        <w:t xml:space="preserve">and other key agencies who are involved including those who support </w:t>
      </w:r>
      <w:proofErr w:type="gramStart"/>
      <w:r w:rsidR="000308F9">
        <w:rPr>
          <w:rFonts w:eastAsiaTheme="minorHAnsi"/>
        </w:rPr>
        <w:t>consumers</w:t>
      </w:r>
      <w:proofErr w:type="gramEnd"/>
      <w:r w:rsidR="000308F9">
        <w:rPr>
          <w:rFonts w:eastAsiaTheme="minorHAnsi"/>
        </w:rPr>
        <w:tab/>
      </w:r>
    </w:p>
    <w:p w14:paraId="58206166" w14:textId="4B5B4652" w:rsidR="000308F9" w:rsidRDefault="000308F9" w:rsidP="004D4616">
      <w:pPr>
        <w:pStyle w:val="Heading3"/>
        <w:numPr>
          <w:ilvl w:val="0"/>
          <w:numId w:val="38"/>
        </w:numPr>
        <w:rPr>
          <w:rFonts w:eastAsiaTheme="minorHAnsi"/>
        </w:rPr>
      </w:pPr>
      <w:r>
        <w:rPr>
          <w:rFonts w:eastAsiaTheme="minorHAnsi"/>
        </w:rPr>
        <w:t xml:space="preserve">Page </w:t>
      </w:r>
      <w:r w:rsidR="00F6683E">
        <w:rPr>
          <w:rFonts w:eastAsiaTheme="minorHAnsi"/>
        </w:rPr>
        <w:t>19</w:t>
      </w:r>
      <w:r>
        <w:rPr>
          <w:rFonts w:eastAsiaTheme="minorHAnsi"/>
        </w:rPr>
        <w:t>-2</w:t>
      </w:r>
      <w:r w:rsidR="00F6683E">
        <w:rPr>
          <w:rFonts w:eastAsiaTheme="minorHAnsi"/>
        </w:rPr>
        <w:t>1</w:t>
      </w:r>
    </w:p>
    <w:p w14:paraId="323715C6" w14:textId="77777777" w:rsidR="000308F9" w:rsidRDefault="000308F9" w:rsidP="004D4616">
      <w:pPr>
        <w:rPr>
          <w:rFonts w:ascii="VIC-SemiBold" w:hAnsi="VIC-SemiBold" w:cs="VIC-SemiBold"/>
          <w:b/>
          <w:bCs/>
          <w:color w:val="005F84"/>
          <w:sz w:val="20"/>
          <w:szCs w:val="20"/>
          <w:lang w:val="en-AU"/>
        </w:rPr>
      </w:pPr>
      <w:r>
        <w:rPr>
          <w:rFonts w:ascii="VIC-SemiBold" w:hAnsi="VIC-SemiBold" w:cs="VIC-SemiBold"/>
          <w:b/>
          <w:bCs/>
          <w:color w:val="005F84"/>
          <w:sz w:val="20"/>
          <w:szCs w:val="20"/>
          <w:lang w:val="en-AU"/>
        </w:rPr>
        <w:br w:type="page"/>
      </w:r>
    </w:p>
    <w:p w14:paraId="2022A157" w14:textId="32527F03" w:rsidR="000308F9" w:rsidRPr="004D4616" w:rsidRDefault="000308F9" w:rsidP="004D4616">
      <w:pPr>
        <w:pStyle w:val="Heading1"/>
      </w:pPr>
      <w:r w:rsidRPr="004D4616">
        <w:lastRenderedPageBreak/>
        <w:t>Being a Trusted</w:t>
      </w:r>
      <w:r w:rsidR="004D4616" w:rsidRPr="004D4616">
        <w:t xml:space="preserve"> </w:t>
      </w:r>
      <w:r w:rsidRPr="004D4616">
        <w:t>Regulator</w:t>
      </w:r>
    </w:p>
    <w:p w14:paraId="655771A3" w14:textId="77777777" w:rsidR="000308F9" w:rsidRDefault="000308F9" w:rsidP="000308F9">
      <w:pPr>
        <w:widowControl/>
        <w:tabs>
          <w:tab w:val="left" w:pos="8029"/>
        </w:tabs>
        <w:adjustRightInd w:val="0"/>
        <w:rPr>
          <w:rFonts w:ascii="VIC-Bold" w:eastAsiaTheme="minorHAnsi" w:hAnsi="VIC-Bold" w:cs="VIC-Bold"/>
          <w:b/>
          <w:bCs/>
          <w:sz w:val="132"/>
          <w:szCs w:val="132"/>
          <w:lang w:val="en-AU"/>
        </w:rPr>
      </w:pPr>
    </w:p>
    <w:p w14:paraId="11BA35D2" w14:textId="15AB93E4" w:rsidR="00DA74DB" w:rsidRDefault="000308F9" w:rsidP="004D4616">
      <w:pPr>
        <w:pStyle w:val="Heading2"/>
        <w:rPr>
          <w:rFonts w:eastAsiaTheme="minorHAnsi"/>
        </w:rPr>
      </w:pPr>
      <w:r>
        <w:rPr>
          <w:rFonts w:eastAsiaTheme="minorHAnsi"/>
        </w:rPr>
        <w:t>The Regulatory Equation</w:t>
      </w:r>
    </w:p>
    <w:p w14:paraId="275EEE0C" w14:textId="77777777" w:rsidR="004D4616" w:rsidRPr="004D4616" w:rsidRDefault="004D4616" w:rsidP="004D4616">
      <w:pPr>
        <w:rPr>
          <w:lang w:val="en-AU"/>
        </w:rPr>
      </w:pPr>
    </w:p>
    <w:p w14:paraId="41B64E46" w14:textId="2E8E8ED8" w:rsidR="00DA74DB" w:rsidRDefault="00DA74DB" w:rsidP="004D4616">
      <w:pPr>
        <w:pStyle w:val="Heading3"/>
        <w:numPr>
          <w:ilvl w:val="0"/>
          <w:numId w:val="38"/>
        </w:numPr>
      </w:pPr>
      <w:r w:rsidRPr="000308F9">
        <w:t>Builders and plumbers accountable for safety and quality</w:t>
      </w:r>
      <w:r>
        <w:t xml:space="preserve"> plus</w:t>
      </w:r>
    </w:p>
    <w:p w14:paraId="38328187" w14:textId="77777777" w:rsidR="00DA74DB" w:rsidRDefault="00DA74DB" w:rsidP="004D4616">
      <w:pPr>
        <w:pStyle w:val="Heading3"/>
      </w:pPr>
    </w:p>
    <w:p w14:paraId="41A5B0C8" w14:textId="51F5D81D" w:rsidR="00DA74DB" w:rsidRPr="000308F9" w:rsidRDefault="00DA74DB" w:rsidP="004D4616">
      <w:pPr>
        <w:pStyle w:val="Heading3"/>
        <w:numPr>
          <w:ilvl w:val="0"/>
          <w:numId w:val="38"/>
        </w:numPr>
      </w:pPr>
      <w:r>
        <w:t>Relevant Building Surveyor</w:t>
      </w:r>
      <w:r w:rsidR="00960421">
        <w:t>s</w:t>
      </w:r>
      <w:r>
        <w:t xml:space="preserve"> plus</w:t>
      </w:r>
    </w:p>
    <w:p w14:paraId="050F93CC" w14:textId="77777777" w:rsidR="00DA74DB" w:rsidRDefault="00DA74DB" w:rsidP="004D4616">
      <w:pPr>
        <w:pStyle w:val="Heading3"/>
      </w:pPr>
    </w:p>
    <w:p w14:paraId="488F19F8" w14:textId="575E0BE2" w:rsidR="00DA74DB" w:rsidRDefault="00DA74DB" w:rsidP="004D4616">
      <w:pPr>
        <w:pStyle w:val="Heading3"/>
        <w:numPr>
          <w:ilvl w:val="0"/>
          <w:numId w:val="38"/>
        </w:numPr>
      </w:pPr>
      <w:r>
        <w:t>Authority’s regulatory activity (full suite of tools) equals</w:t>
      </w:r>
    </w:p>
    <w:p w14:paraId="3E8666D9" w14:textId="77777777" w:rsidR="00DA74DB" w:rsidRDefault="00DA74DB" w:rsidP="004D4616">
      <w:pPr>
        <w:pStyle w:val="Heading3"/>
      </w:pPr>
    </w:p>
    <w:p w14:paraId="680D9AF1" w14:textId="773E2243" w:rsidR="000308F9" w:rsidRPr="00DA74DB" w:rsidRDefault="00DA74DB" w:rsidP="004D4616">
      <w:pPr>
        <w:pStyle w:val="Heading3"/>
        <w:numPr>
          <w:ilvl w:val="0"/>
          <w:numId w:val="38"/>
        </w:numPr>
      </w:pPr>
      <w:r>
        <w:t xml:space="preserve">Improvements in consumer outcomes </w:t>
      </w:r>
    </w:p>
    <w:p w14:paraId="379342F1" w14:textId="77777777" w:rsidR="000308F9" w:rsidRDefault="000308F9" w:rsidP="000308F9">
      <w:pPr>
        <w:widowControl/>
        <w:adjustRightInd w:val="0"/>
        <w:rPr>
          <w:rFonts w:ascii="VIC-Bold" w:eastAsiaTheme="minorHAnsi" w:hAnsi="VIC-Bold" w:cs="VIC-Bold"/>
          <w:b/>
          <w:bCs/>
          <w:sz w:val="46"/>
          <w:szCs w:val="46"/>
          <w:lang w:val="en-AU"/>
        </w:rPr>
      </w:pPr>
    </w:p>
    <w:p w14:paraId="56FFB0FC" w14:textId="77777777" w:rsidR="000308F9" w:rsidRDefault="000308F9" w:rsidP="000308F9">
      <w:pPr>
        <w:widowControl/>
        <w:adjustRightInd w:val="0"/>
        <w:rPr>
          <w:rFonts w:ascii="VIC-Bold" w:eastAsiaTheme="minorHAnsi" w:hAnsi="VIC-Bold" w:cs="VIC-Bold"/>
          <w:b/>
          <w:bCs/>
          <w:sz w:val="46"/>
          <w:szCs w:val="46"/>
          <w:lang w:val="en-AU"/>
        </w:rPr>
      </w:pPr>
    </w:p>
    <w:p w14:paraId="64EDD015" w14:textId="77777777" w:rsidR="000308F9" w:rsidRDefault="000308F9" w:rsidP="000308F9">
      <w:pPr>
        <w:widowControl/>
        <w:adjustRightInd w:val="0"/>
        <w:rPr>
          <w:rFonts w:ascii="VIC-Bold" w:eastAsiaTheme="minorHAnsi" w:hAnsi="VIC-Bold" w:cs="VIC-Bold"/>
          <w:b/>
          <w:bCs/>
          <w:sz w:val="46"/>
          <w:szCs w:val="46"/>
          <w:lang w:val="en-AU"/>
        </w:rPr>
      </w:pPr>
    </w:p>
    <w:p w14:paraId="56F7A76B" w14:textId="2A3596FA" w:rsidR="000308F9" w:rsidRDefault="000308F9" w:rsidP="004D4616">
      <w:pPr>
        <w:pStyle w:val="Heading2"/>
        <w:rPr>
          <w:rFonts w:eastAsiaTheme="minorHAnsi"/>
        </w:rPr>
      </w:pPr>
      <w:r>
        <w:rPr>
          <w:rFonts w:eastAsiaTheme="minorHAnsi"/>
        </w:rPr>
        <w:t>When practitioners deliver quality and</w:t>
      </w:r>
    </w:p>
    <w:p w14:paraId="75DE876A" w14:textId="77777777" w:rsidR="000308F9" w:rsidRDefault="000308F9" w:rsidP="004D4616">
      <w:pPr>
        <w:pStyle w:val="Heading2"/>
        <w:rPr>
          <w:rFonts w:eastAsiaTheme="minorHAnsi"/>
        </w:rPr>
      </w:pPr>
      <w:r>
        <w:rPr>
          <w:rFonts w:eastAsiaTheme="minorHAnsi"/>
        </w:rPr>
        <w:t>compliant work, minimal regulatory</w:t>
      </w:r>
    </w:p>
    <w:p w14:paraId="5F0A07DC" w14:textId="74FDDBA6" w:rsidR="000308F9" w:rsidRDefault="000308F9" w:rsidP="004D4616">
      <w:pPr>
        <w:pStyle w:val="Heading2"/>
        <w:rPr>
          <w:rFonts w:ascii="VIC-Regular" w:eastAsiaTheme="minorHAnsi" w:hAnsi="VIC-Regular" w:cs="VIC-Regular"/>
          <w:color w:val="000000"/>
        </w:rPr>
      </w:pPr>
      <w:r>
        <w:rPr>
          <w:rFonts w:eastAsiaTheme="minorHAnsi"/>
        </w:rPr>
        <w:t>intervention is required.</w:t>
      </w:r>
    </w:p>
    <w:p w14:paraId="3D2D0A45"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0707B4B4"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5FD8C63F"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489EB239"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4E82241C"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0F2D2938"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6C9ACEB7"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3A57C722"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2E7B4812"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791263B1"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55AFF1FE" w14:textId="77777777" w:rsidR="004D4616" w:rsidRDefault="004D4616" w:rsidP="000308F9">
      <w:pPr>
        <w:widowControl/>
        <w:tabs>
          <w:tab w:val="left" w:pos="8029"/>
        </w:tabs>
        <w:adjustRightInd w:val="0"/>
        <w:rPr>
          <w:rFonts w:ascii="VIC-Regular" w:eastAsiaTheme="minorHAnsi" w:hAnsi="VIC-Regular" w:cs="VIC-Regular"/>
          <w:color w:val="000000"/>
          <w:lang w:val="en-AU"/>
        </w:rPr>
      </w:pPr>
    </w:p>
    <w:p w14:paraId="19FF6B54"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0671968D"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501E76FA" w14:textId="7D08F54C" w:rsidR="000308F9" w:rsidRPr="004D4616" w:rsidRDefault="000308F9" w:rsidP="004D4616">
      <w:pPr>
        <w:pStyle w:val="Heading2"/>
      </w:pPr>
      <w:r w:rsidRPr="004D4616">
        <w:lastRenderedPageBreak/>
        <w:t>For consumers, the Authority’s</w:t>
      </w:r>
      <w:r w:rsidR="00E52A77" w:rsidRPr="004D4616">
        <w:t xml:space="preserve"> </w:t>
      </w:r>
      <w:r w:rsidRPr="004D4616">
        <w:t>approach means:</w:t>
      </w:r>
    </w:p>
    <w:p w14:paraId="628CA41E"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6893755C" w14:textId="52D0EDA3" w:rsidR="000308F9" w:rsidRPr="004D4616" w:rsidRDefault="000308F9" w:rsidP="004D4616">
      <w:pPr>
        <w:pStyle w:val="ListParagraph"/>
        <w:numPr>
          <w:ilvl w:val="0"/>
          <w:numId w:val="25"/>
        </w:numPr>
        <w:rPr>
          <w:lang w:val="en-AU"/>
        </w:rPr>
      </w:pPr>
      <w:r w:rsidRPr="004D4616">
        <w:rPr>
          <w:lang w:val="en-AU"/>
        </w:rPr>
        <w:t>The Authority will act within its legislative powers to help ensure a safe and compliant built environment.</w:t>
      </w:r>
    </w:p>
    <w:p w14:paraId="1B7387EC" w14:textId="67E38C21" w:rsidR="004173E3" w:rsidRPr="004D4616" w:rsidRDefault="004173E3" w:rsidP="004D4616">
      <w:pPr>
        <w:pStyle w:val="ListParagraph"/>
        <w:numPr>
          <w:ilvl w:val="0"/>
          <w:numId w:val="25"/>
        </w:numPr>
        <w:rPr>
          <w:lang w:val="en-AU"/>
        </w:rPr>
      </w:pPr>
      <w:r w:rsidRPr="004D4616">
        <w:rPr>
          <w:lang w:val="en-AU"/>
        </w:rPr>
        <w:t>We achieve this through our regulatory oversight of building and plumbing practitioners.</w:t>
      </w:r>
    </w:p>
    <w:p w14:paraId="7ED3DC9A" w14:textId="5DF16B6F" w:rsidR="004173E3" w:rsidRPr="004D4616" w:rsidRDefault="004173E3" w:rsidP="004D4616">
      <w:pPr>
        <w:pStyle w:val="ListParagraph"/>
        <w:numPr>
          <w:ilvl w:val="0"/>
          <w:numId w:val="25"/>
        </w:numPr>
        <w:rPr>
          <w:lang w:val="en-AU"/>
        </w:rPr>
      </w:pPr>
      <w:r w:rsidRPr="004D4616">
        <w:rPr>
          <w:lang w:val="en-AU"/>
        </w:rPr>
        <w:t>The Authority identifies problems and targets its regulatory efforts to improve the building industry based on consumer reports of issues.</w:t>
      </w:r>
    </w:p>
    <w:p w14:paraId="4EEDF803"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17E3DFA8" w14:textId="77777777" w:rsidR="000308F9" w:rsidRDefault="000308F9" w:rsidP="000308F9">
      <w:pPr>
        <w:widowControl/>
        <w:tabs>
          <w:tab w:val="left" w:pos="8029"/>
        </w:tabs>
        <w:adjustRightInd w:val="0"/>
        <w:rPr>
          <w:rFonts w:ascii="VIC-Regular" w:eastAsiaTheme="minorHAnsi" w:hAnsi="VIC-Regular" w:cs="VIC-Regular"/>
          <w:color w:val="000000"/>
          <w:lang w:val="en-AU"/>
        </w:rPr>
      </w:pPr>
    </w:p>
    <w:p w14:paraId="74FD8BEA" w14:textId="77777777" w:rsidR="000308F9" w:rsidRPr="000308F9" w:rsidRDefault="000308F9" w:rsidP="000308F9">
      <w:pPr>
        <w:widowControl/>
        <w:tabs>
          <w:tab w:val="left" w:pos="8029"/>
        </w:tabs>
        <w:adjustRightInd w:val="0"/>
        <w:rPr>
          <w:rFonts w:ascii="VIC-Regular" w:eastAsiaTheme="minorHAnsi" w:hAnsi="VIC-Regular" w:cs="VIC-Regular"/>
          <w:color w:val="000000"/>
          <w:lang w:val="en-AU"/>
        </w:rPr>
      </w:pPr>
    </w:p>
    <w:p w14:paraId="05096073" w14:textId="36CEEC60" w:rsidR="00D13D6C" w:rsidRDefault="000308F9" w:rsidP="004D4616">
      <w:pPr>
        <w:pStyle w:val="Heading2"/>
        <w:rPr>
          <w:rFonts w:eastAsiaTheme="minorHAnsi"/>
        </w:rPr>
      </w:pPr>
      <w:r>
        <w:rPr>
          <w:rFonts w:eastAsiaTheme="minorHAnsi"/>
        </w:rPr>
        <w:t>For builders, plumbers and other practitioners, the Authority’s approach means:</w:t>
      </w:r>
    </w:p>
    <w:p w14:paraId="3DFF1B55" w14:textId="20B9F440" w:rsidR="004173E3" w:rsidRPr="004D4616" w:rsidRDefault="004173E3" w:rsidP="004D4616">
      <w:pPr>
        <w:pStyle w:val="ListParagraph"/>
        <w:numPr>
          <w:ilvl w:val="0"/>
          <w:numId w:val="26"/>
        </w:numPr>
        <w:rPr>
          <w:lang w:val="en-AU"/>
        </w:rPr>
      </w:pPr>
      <w:r w:rsidRPr="004D4616">
        <w:rPr>
          <w:lang w:val="en-AU"/>
        </w:rPr>
        <w:t>The Authority will support you through education and guidance.</w:t>
      </w:r>
    </w:p>
    <w:p w14:paraId="67D96DA7" w14:textId="0AA48FF9" w:rsidR="004173E3" w:rsidRPr="004D4616" w:rsidRDefault="004173E3" w:rsidP="004D4616">
      <w:pPr>
        <w:pStyle w:val="ListParagraph"/>
        <w:numPr>
          <w:ilvl w:val="0"/>
          <w:numId w:val="26"/>
        </w:numPr>
        <w:rPr>
          <w:lang w:val="en-AU"/>
        </w:rPr>
      </w:pPr>
      <w:r w:rsidRPr="004D4616">
        <w:rPr>
          <w:lang w:val="en-AU"/>
        </w:rPr>
        <w:t>It is your responsibility to deliver a safe and compliant built environment.</w:t>
      </w:r>
    </w:p>
    <w:p w14:paraId="04ECAB41" w14:textId="1EBC0501" w:rsidR="004173E3" w:rsidRPr="004D4616" w:rsidRDefault="004173E3" w:rsidP="004D4616">
      <w:pPr>
        <w:pStyle w:val="ListParagraph"/>
        <w:numPr>
          <w:ilvl w:val="0"/>
          <w:numId w:val="26"/>
        </w:numPr>
        <w:rPr>
          <w:lang w:val="en-AU"/>
        </w:rPr>
      </w:pPr>
      <w:r w:rsidRPr="004D4616">
        <w:rPr>
          <w:lang w:val="en-AU"/>
        </w:rPr>
        <w:t>You must be licensed or registered (as required by legislation), maintain competence and have the capability to carry out the work you commit to performing.</w:t>
      </w:r>
    </w:p>
    <w:p w14:paraId="2BF906AF" w14:textId="5C35E093" w:rsidR="004173E3" w:rsidRPr="004D4616" w:rsidRDefault="004173E3" w:rsidP="004D4616">
      <w:pPr>
        <w:pStyle w:val="ListParagraph"/>
        <w:numPr>
          <w:ilvl w:val="0"/>
          <w:numId w:val="26"/>
        </w:numPr>
        <w:rPr>
          <w:lang w:val="en-AU"/>
        </w:rPr>
      </w:pPr>
      <w:r w:rsidRPr="004D4616">
        <w:rPr>
          <w:lang w:val="en-AU"/>
        </w:rPr>
        <w:t>We will use our regulatory powers to ensure you meet the required standards.</w:t>
      </w:r>
    </w:p>
    <w:p w14:paraId="25F98D6E" w14:textId="77777777" w:rsidR="00E52A77" w:rsidRDefault="00E52A77" w:rsidP="00E52A77">
      <w:pPr>
        <w:widowControl/>
        <w:adjustRightInd w:val="0"/>
        <w:rPr>
          <w:rStyle w:val="Emphasis"/>
          <w:rFonts w:ascii="VIC-Light" w:eastAsiaTheme="minorHAnsi" w:hAnsi="VIC-Light" w:cs="VIC-Light"/>
          <w:i w:val="0"/>
          <w:iCs w:val="0"/>
          <w:sz w:val="21"/>
          <w:szCs w:val="21"/>
          <w:lang w:val="en-AU"/>
        </w:rPr>
      </w:pPr>
    </w:p>
    <w:p w14:paraId="224B4CC1" w14:textId="77777777" w:rsidR="00E52A77" w:rsidRDefault="00E52A77" w:rsidP="00E52A77">
      <w:pPr>
        <w:widowControl/>
        <w:adjustRightInd w:val="0"/>
        <w:rPr>
          <w:rStyle w:val="Emphasis"/>
          <w:rFonts w:ascii="VIC-Light" w:eastAsiaTheme="minorHAnsi" w:hAnsi="VIC-Light" w:cs="VIC-Light"/>
          <w:i w:val="0"/>
          <w:iCs w:val="0"/>
          <w:sz w:val="21"/>
          <w:szCs w:val="21"/>
          <w:lang w:val="en-AU"/>
        </w:rPr>
      </w:pPr>
    </w:p>
    <w:p w14:paraId="60C32E42" w14:textId="77777777" w:rsidR="00E52A77" w:rsidRDefault="00E52A77" w:rsidP="00E52A77">
      <w:pPr>
        <w:widowControl/>
        <w:adjustRightInd w:val="0"/>
        <w:rPr>
          <w:rStyle w:val="Emphasis"/>
          <w:rFonts w:ascii="VIC-Light" w:eastAsiaTheme="minorHAnsi" w:hAnsi="VIC-Light" w:cs="VIC-Light"/>
          <w:i w:val="0"/>
          <w:iCs w:val="0"/>
          <w:sz w:val="21"/>
          <w:szCs w:val="21"/>
          <w:lang w:val="en-AU"/>
        </w:rPr>
      </w:pPr>
    </w:p>
    <w:p w14:paraId="6766502E" w14:textId="68A7BCD5" w:rsidR="00E52A77" w:rsidRDefault="00E52A77" w:rsidP="004D4616">
      <w:pPr>
        <w:pStyle w:val="Heading2"/>
        <w:rPr>
          <w:rFonts w:eastAsiaTheme="minorHAnsi"/>
        </w:rPr>
      </w:pPr>
      <w:r>
        <w:rPr>
          <w:rFonts w:eastAsiaTheme="minorHAnsi"/>
        </w:rPr>
        <w:t>For building surveyors, the Authority’s</w:t>
      </w:r>
    </w:p>
    <w:p w14:paraId="36980BC3" w14:textId="5B1EEEC5" w:rsidR="00E52A77" w:rsidRDefault="00E52A77" w:rsidP="004D4616">
      <w:pPr>
        <w:pStyle w:val="Heading2"/>
        <w:rPr>
          <w:rFonts w:eastAsiaTheme="minorHAnsi"/>
        </w:rPr>
      </w:pPr>
      <w:r>
        <w:rPr>
          <w:rFonts w:eastAsiaTheme="minorHAnsi"/>
        </w:rPr>
        <w:t>approach means:</w:t>
      </w:r>
    </w:p>
    <w:p w14:paraId="09164485" w14:textId="77777777" w:rsidR="004173E3" w:rsidRPr="004D4616" w:rsidRDefault="004173E3" w:rsidP="004D4616">
      <w:pPr>
        <w:pStyle w:val="ListParagraph"/>
        <w:numPr>
          <w:ilvl w:val="0"/>
          <w:numId w:val="27"/>
        </w:numPr>
        <w:rPr>
          <w:lang w:val="en-AU"/>
        </w:rPr>
      </w:pPr>
      <w:r w:rsidRPr="004D4616">
        <w:rPr>
          <w:lang w:val="en-AU"/>
        </w:rPr>
        <w:t>We see you as a valued partner in the regulatory system and expect you to take appropriate action to ensure safe and compliant buildings.</w:t>
      </w:r>
    </w:p>
    <w:p w14:paraId="723963DA" w14:textId="77777777" w:rsidR="004173E3" w:rsidRPr="004D4616" w:rsidRDefault="004173E3" w:rsidP="004D4616">
      <w:pPr>
        <w:pStyle w:val="ListParagraph"/>
        <w:numPr>
          <w:ilvl w:val="0"/>
          <w:numId w:val="27"/>
        </w:numPr>
        <w:rPr>
          <w:lang w:val="en-AU"/>
        </w:rPr>
      </w:pPr>
      <w:r w:rsidRPr="004D4616">
        <w:rPr>
          <w:lang w:val="en-AU"/>
        </w:rPr>
        <w:t xml:space="preserve">The Authority will support you in your regulatory role, including providing relevant and useful information regarding regulations or technical interpretations. </w:t>
      </w:r>
    </w:p>
    <w:p w14:paraId="732A9E4B" w14:textId="25566777" w:rsidR="004173E3" w:rsidRPr="004D4616" w:rsidRDefault="004173E3" w:rsidP="004D4616">
      <w:pPr>
        <w:pStyle w:val="ListParagraph"/>
        <w:numPr>
          <w:ilvl w:val="0"/>
          <w:numId w:val="27"/>
        </w:numPr>
        <w:rPr>
          <w:lang w:val="en-AU"/>
        </w:rPr>
      </w:pPr>
      <w:r w:rsidRPr="004D4616">
        <w:rPr>
          <w:lang w:val="en-AU"/>
        </w:rPr>
        <w:t>The Authority will use its powers to ensure that you act appropriately as required by your statutory functions and that your business arrangements with other practitioners operate with integrity.</w:t>
      </w:r>
    </w:p>
    <w:p w14:paraId="630CBE9D" w14:textId="77777777" w:rsidR="00E52A77" w:rsidRDefault="00E52A77">
      <w:pPr>
        <w:widowControl/>
        <w:autoSpaceDE/>
        <w:autoSpaceDN/>
        <w:spacing w:after="160" w:line="259" w:lineRule="auto"/>
        <w:rPr>
          <w:rFonts w:ascii="VIC-Light" w:eastAsiaTheme="minorHAnsi" w:hAnsi="VIC-Light" w:cs="VIC-Light"/>
          <w:sz w:val="21"/>
          <w:szCs w:val="21"/>
          <w:lang w:val="en-AU"/>
        </w:rPr>
      </w:pPr>
      <w:r>
        <w:rPr>
          <w:rFonts w:ascii="VIC-Light" w:eastAsiaTheme="minorHAnsi" w:hAnsi="VIC-Light" w:cs="VIC-Light"/>
          <w:sz w:val="21"/>
          <w:szCs w:val="21"/>
          <w:lang w:val="en-AU"/>
        </w:rPr>
        <w:br w:type="page"/>
      </w:r>
    </w:p>
    <w:p w14:paraId="391712F0" w14:textId="31300557" w:rsidR="00E52A77" w:rsidRDefault="00E52A77" w:rsidP="004D4616">
      <w:pPr>
        <w:pStyle w:val="Heading1"/>
        <w:rPr>
          <w:rFonts w:eastAsiaTheme="minorHAnsi"/>
        </w:rPr>
      </w:pPr>
      <w:r>
        <w:rPr>
          <w:rFonts w:eastAsiaTheme="minorHAnsi"/>
        </w:rPr>
        <w:lastRenderedPageBreak/>
        <w:t>The Authority</w:t>
      </w:r>
      <w:r w:rsidR="004D4616">
        <w:rPr>
          <w:rFonts w:eastAsiaTheme="minorHAnsi"/>
        </w:rPr>
        <w:br/>
      </w:r>
      <w:r>
        <w:rPr>
          <w:rFonts w:eastAsiaTheme="minorHAnsi"/>
        </w:rPr>
        <w:t>regulates industry</w:t>
      </w:r>
      <w:r w:rsidR="004D4616">
        <w:rPr>
          <w:rFonts w:eastAsiaTheme="minorHAnsi"/>
        </w:rPr>
        <w:br/>
      </w:r>
      <w:r>
        <w:rPr>
          <w:rFonts w:eastAsiaTheme="minorHAnsi"/>
        </w:rPr>
        <w:t>to improve consumer</w:t>
      </w:r>
      <w:r w:rsidR="004D4616">
        <w:rPr>
          <w:rFonts w:eastAsiaTheme="minorHAnsi"/>
        </w:rPr>
        <w:br/>
      </w:r>
      <w:r>
        <w:rPr>
          <w:rFonts w:eastAsiaTheme="minorHAnsi"/>
        </w:rPr>
        <w:t>outcomes.</w:t>
      </w:r>
    </w:p>
    <w:p w14:paraId="5159BF26" w14:textId="77777777" w:rsidR="004D4616" w:rsidRDefault="004D4616" w:rsidP="004D4616">
      <w:pPr>
        <w:pStyle w:val="Heading2"/>
        <w:rPr>
          <w:rFonts w:eastAsiaTheme="minorHAnsi"/>
        </w:rPr>
      </w:pPr>
    </w:p>
    <w:p w14:paraId="6E7F0B92" w14:textId="6A336940" w:rsidR="000F1262" w:rsidRDefault="00E52A77" w:rsidP="004D4616">
      <w:pPr>
        <w:pStyle w:val="Heading2"/>
        <w:rPr>
          <w:rFonts w:eastAsiaTheme="minorHAnsi"/>
        </w:rPr>
      </w:pPr>
      <w:r>
        <w:rPr>
          <w:rFonts w:eastAsiaTheme="minorHAnsi"/>
        </w:rPr>
        <w:t>Effective industry</w:t>
      </w:r>
      <w:r w:rsidR="002843C2">
        <w:rPr>
          <w:rFonts w:eastAsiaTheme="minorHAnsi"/>
        </w:rPr>
        <w:t xml:space="preserve"> </w:t>
      </w:r>
      <w:r>
        <w:rPr>
          <w:rFonts w:eastAsiaTheme="minorHAnsi"/>
        </w:rPr>
        <w:t xml:space="preserve">regulation </w:t>
      </w:r>
      <w:r w:rsidR="004173E3">
        <w:rPr>
          <w:rFonts w:eastAsiaTheme="minorHAnsi"/>
        </w:rPr>
        <w:t xml:space="preserve">enables </w:t>
      </w:r>
      <w:r>
        <w:rPr>
          <w:rFonts w:eastAsiaTheme="minorHAnsi"/>
        </w:rPr>
        <w:t>consumers</w:t>
      </w:r>
      <w:r w:rsidR="002843C2">
        <w:rPr>
          <w:rFonts w:eastAsiaTheme="minorHAnsi"/>
        </w:rPr>
        <w:t xml:space="preserve"> </w:t>
      </w:r>
      <w:r w:rsidR="004173E3">
        <w:rPr>
          <w:rFonts w:eastAsiaTheme="minorHAnsi"/>
        </w:rPr>
        <w:t>to</w:t>
      </w:r>
      <w:r>
        <w:rPr>
          <w:rFonts w:eastAsiaTheme="minorHAnsi"/>
        </w:rPr>
        <w:t xml:space="preserve"> enjoy a safe</w:t>
      </w:r>
      <w:r w:rsidR="002843C2">
        <w:rPr>
          <w:rFonts w:eastAsiaTheme="minorHAnsi"/>
        </w:rPr>
        <w:t xml:space="preserve"> </w:t>
      </w:r>
      <w:r>
        <w:rPr>
          <w:rFonts w:eastAsiaTheme="minorHAnsi"/>
        </w:rPr>
        <w:t xml:space="preserve">and </w:t>
      </w:r>
      <w:proofErr w:type="gramStart"/>
      <w:r>
        <w:rPr>
          <w:rFonts w:eastAsiaTheme="minorHAnsi"/>
        </w:rPr>
        <w:t>quality built</w:t>
      </w:r>
      <w:proofErr w:type="gramEnd"/>
      <w:r w:rsidR="002843C2">
        <w:rPr>
          <w:rFonts w:eastAsiaTheme="minorHAnsi"/>
        </w:rPr>
        <w:t xml:space="preserve"> </w:t>
      </w:r>
      <w:r>
        <w:rPr>
          <w:rFonts w:eastAsiaTheme="minorHAnsi"/>
        </w:rPr>
        <w:t>environment.</w:t>
      </w:r>
    </w:p>
    <w:p w14:paraId="716B2181" w14:textId="77777777" w:rsidR="000F1262" w:rsidRDefault="000F1262">
      <w:pPr>
        <w:widowControl/>
        <w:autoSpaceDE/>
        <w:autoSpaceDN/>
        <w:spacing w:after="160" w:line="259" w:lineRule="auto"/>
        <w:rPr>
          <w:rFonts w:ascii="VIC-SemiBold" w:eastAsiaTheme="minorHAnsi" w:hAnsi="VIC-SemiBold" w:cs="VIC-SemiBold"/>
          <w:b/>
          <w:bCs/>
          <w:color w:val="0099FF"/>
          <w:sz w:val="48"/>
          <w:szCs w:val="48"/>
          <w:lang w:val="en-AU"/>
        </w:rPr>
      </w:pPr>
      <w:r>
        <w:rPr>
          <w:rFonts w:ascii="VIC-SemiBold" w:eastAsiaTheme="minorHAnsi" w:hAnsi="VIC-SemiBold" w:cs="VIC-SemiBold"/>
          <w:b/>
          <w:bCs/>
          <w:color w:val="0099FF"/>
          <w:sz w:val="48"/>
          <w:szCs w:val="48"/>
          <w:lang w:val="en-AU"/>
        </w:rPr>
        <w:br w:type="page"/>
      </w:r>
    </w:p>
    <w:p w14:paraId="2FDDBD5E" w14:textId="77777777" w:rsidR="00B25726" w:rsidRDefault="00B25726" w:rsidP="004173E3">
      <w:pPr>
        <w:widowControl/>
        <w:adjustRightInd w:val="0"/>
        <w:rPr>
          <w:rFonts w:ascii="VIC-Light" w:eastAsiaTheme="minorHAnsi" w:hAnsi="VIC-Light" w:cs="VIC-Light"/>
          <w:sz w:val="21"/>
          <w:szCs w:val="21"/>
          <w:lang w:val="en-AU"/>
        </w:rPr>
      </w:pPr>
    </w:p>
    <w:p w14:paraId="405730BD" w14:textId="77777777" w:rsidR="00B25726" w:rsidRDefault="00B25726" w:rsidP="004173E3">
      <w:pPr>
        <w:widowControl/>
        <w:adjustRightInd w:val="0"/>
        <w:rPr>
          <w:rFonts w:ascii="VIC-Light" w:eastAsiaTheme="minorHAnsi" w:hAnsi="VIC-Light" w:cs="VIC-Light"/>
          <w:sz w:val="21"/>
          <w:szCs w:val="21"/>
          <w:lang w:val="en-AU"/>
        </w:rPr>
      </w:pPr>
    </w:p>
    <w:p w14:paraId="4659C501" w14:textId="77777777" w:rsidR="00B25726" w:rsidRDefault="00B25726" w:rsidP="004173E3">
      <w:pPr>
        <w:widowControl/>
        <w:adjustRightInd w:val="0"/>
        <w:rPr>
          <w:rFonts w:ascii="VIC-Light" w:eastAsiaTheme="minorHAnsi" w:hAnsi="VIC-Light" w:cs="VIC-Light"/>
          <w:sz w:val="21"/>
          <w:szCs w:val="21"/>
          <w:lang w:val="en-AU"/>
        </w:rPr>
      </w:pPr>
    </w:p>
    <w:p w14:paraId="5886E2E9" w14:textId="77777777" w:rsidR="00B25726" w:rsidRDefault="00B25726" w:rsidP="004173E3">
      <w:pPr>
        <w:widowControl/>
        <w:adjustRightInd w:val="0"/>
        <w:rPr>
          <w:rFonts w:ascii="VIC-Light" w:eastAsiaTheme="minorHAnsi" w:hAnsi="VIC-Light" w:cs="VIC-Light"/>
          <w:sz w:val="21"/>
          <w:szCs w:val="21"/>
          <w:lang w:val="en-AU"/>
        </w:rPr>
      </w:pPr>
    </w:p>
    <w:p w14:paraId="4798099D" w14:textId="77777777" w:rsidR="00B25726" w:rsidRDefault="00B25726" w:rsidP="004173E3">
      <w:pPr>
        <w:widowControl/>
        <w:adjustRightInd w:val="0"/>
        <w:rPr>
          <w:rFonts w:ascii="VIC-Light" w:eastAsiaTheme="minorHAnsi" w:hAnsi="VIC-Light" w:cs="VIC-Light"/>
          <w:sz w:val="21"/>
          <w:szCs w:val="21"/>
          <w:lang w:val="en-AU"/>
        </w:rPr>
      </w:pPr>
    </w:p>
    <w:p w14:paraId="0C04F8E4" w14:textId="77777777" w:rsidR="00B25726" w:rsidRDefault="00B25726" w:rsidP="004173E3">
      <w:pPr>
        <w:widowControl/>
        <w:adjustRightInd w:val="0"/>
        <w:rPr>
          <w:rFonts w:ascii="VIC-Light" w:eastAsiaTheme="minorHAnsi" w:hAnsi="VIC-Light" w:cs="VIC-Light"/>
          <w:sz w:val="21"/>
          <w:szCs w:val="21"/>
          <w:lang w:val="en-AU"/>
        </w:rPr>
      </w:pPr>
    </w:p>
    <w:p w14:paraId="158A438F" w14:textId="77777777" w:rsidR="00B25726" w:rsidRDefault="00B25726" w:rsidP="004173E3">
      <w:pPr>
        <w:widowControl/>
        <w:adjustRightInd w:val="0"/>
        <w:rPr>
          <w:rFonts w:ascii="VIC-Light" w:eastAsiaTheme="minorHAnsi" w:hAnsi="VIC-Light" w:cs="VIC-Light"/>
          <w:sz w:val="21"/>
          <w:szCs w:val="21"/>
          <w:lang w:val="en-AU"/>
        </w:rPr>
      </w:pPr>
    </w:p>
    <w:p w14:paraId="0379E7BC" w14:textId="77777777" w:rsidR="00B25726" w:rsidRDefault="00B25726" w:rsidP="004173E3">
      <w:pPr>
        <w:widowControl/>
        <w:adjustRightInd w:val="0"/>
        <w:rPr>
          <w:rFonts w:ascii="VIC-Light" w:eastAsiaTheme="minorHAnsi" w:hAnsi="VIC-Light" w:cs="VIC-Light"/>
          <w:sz w:val="21"/>
          <w:szCs w:val="21"/>
          <w:lang w:val="en-AU"/>
        </w:rPr>
      </w:pPr>
    </w:p>
    <w:p w14:paraId="1FE2C2A3" w14:textId="77777777" w:rsidR="00B25726" w:rsidRDefault="00B25726" w:rsidP="00B25726">
      <w:pPr>
        <w:widowControl/>
        <w:adjustRightInd w:val="0"/>
        <w:jc w:val="center"/>
        <w:rPr>
          <w:rFonts w:ascii="VIC-Light" w:eastAsiaTheme="minorHAnsi" w:hAnsi="VIC-Light" w:cs="VIC-Light"/>
          <w:sz w:val="21"/>
          <w:szCs w:val="21"/>
          <w:lang w:val="en-AU"/>
        </w:rPr>
      </w:pPr>
    </w:p>
    <w:p w14:paraId="2A40CEA1" w14:textId="77777777" w:rsidR="00B25726" w:rsidRDefault="00B25726" w:rsidP="00B25726">
      <w:pPr>
        <w:widowControl/>
        <w:adjustRightInd w:val="0"/>
        <w:jc w:val="center"/>
        <w:rPr>
          <w:rFonts w:ascii="VIC-Light" w:eastAsiaTheme="minorHAnsi" w:hAnsi="VIC-Light" w:cs="VIC-Light"/>
          <w:sz w:val="21"/>
          <w:szCs w:val="21"/>
          <w:lang w:val="en-AU"/>
        </w:rPr>
      </w:pPr>
    </w:p>
    <w:p w14:paraId="2AC741C2" w14:textId="77777777" w:rsidR="00B25726" w:rsidRDefault="00B25726" w:rsidP="00B25726">
      <w:pPr>
        <w:widowControl/>
        <w:adjustRightInd w:val="0"/>
        <w:jc w:val="center"/>
        <w:rPr>
          <w:rFonts w:ascii="VIC-Light" w:eastAsiaTheme="minorHAnsi" w:hAnsi="VIC-Light" w:cs="VIC-Light"/>
          <w:sz w:val="21"/>
          <w:szCs w:val="21"/>
          <w:lang w:val="en-AU"/>
        </w:rPr>
      </w:pPr>
    </w:p>
    <w:p w14:paraId="626EBE3C" w14:textId="77777777" w:rsidR="00B25726" w:rsidRDefault="00B25726" w:rsidP="00B25726">
      <w:pPr>
        <w:widowControl/>
        <w:adjustRightInd w:val="0"/>
        <w:jc w:val="center"/>
        <w:rPr>
          <w:rFonts w:ascii="VIC-Light" w:eastAsiaTheme="minorHAnsi" w:hAnsi="VIC-Light" w:cs="VIC-Light"/>
          <w:sz w:val="21"/>
          <w:szCs w:val="21"/>
          <w:lang w:val="en-AU"/>
        </w:rPr>
      </w:pPr>
    </w:p>
    <w:p w14:paraId="7FAA2BB1" w14:textId="77777777" w:rsidR="00B25726" w:rsidRDefault="00B25726" w:rsidP="00B25726">
      <w:pPr>
        <w:widowControl/>
        <w:adjustRightInd w:val="0"/>
        <w:jc w:val="center"/>
        <w:rPr>
          <w:rFonts w:ascii="VIC-Light" w:eastAsiaTheme="minorHAnsi" w:hAnsi="VIC-Light" w:cs="VIC-Light"/>
          <w:sz w:val="21"/>
          <w:szCs w:val="21"/>
          <w:lang w:val="en-AU"/>
        </w:rPr>
      </w:pPr>
    </w:p>
    <w:p w14:paraId="47423410" w14:textId="77777777" w:rsidR="00B25726" w:rsidRDefault="00B25726" w:rsidP="00B25726">
      <w:pPr>
        <w:widowControl/>
        <w:adjustRightInd w:val="0"/>
        <w:jc w:val="center"/>
        <w:rPr>
          <w:rFonts w:ascii="VIC-Light" w:eastAsiaTheme="minorHAnsi" w:hAnsi="VIC-Light" w:cs="VIC-Light"/>
          <w:sz w:val="21"/>
          <w:szCs w:val="21"/>
          <w:lang w:val="en-AU"/>
        </w:rPr>
      </w:pPr>
    </w:p>
    <w:p w14:paraId="51463C67" w14:textId="77777777" w:rsidR="00B25726" w:rsidRDefault="00B25726" w:rsidP="00B25726">
      <w:pPr>
        <w:widowControl/>
        <w:adjustRightInd w:val="0"/>
        <w:jc w:val="center"/>
        <w:rPr>
          <w:rFonts w:ascii="VIC-Light" w:eastAsiaTheme="minorHAnsi" w:hAnsi="VIC-Light" w:cs="VIC-Light"/>
          <w:sz w:val="21"/>
          <w:szCs w:val="21"/>
          <w:lang w:val="en-AU"/>
        </w:rPr>
      </w:pPr>
    </w:p>
    <w:p w14:paraId="14B5C163" w14:textId="77777777" w:rsidR="00B25726" w:rsidRDefault="00B25726" w:rsidP="00B25726">
      <w:pPr>
        <w:widowControl/>
        <w:adjustRightInd w:val="0"/>
        <w:jc w:val="center"/>
        <w:rPr>
          <w:rFonts w:ascii="VIC-Light" w:eastAsiaTheme="minorHAnsi" w:hAnsi="VIC-Light" w:cs="VIC-Light"/>
          <w:sz w:val="21"/>
          <w:szCs w:val="21"/>
          <w:lang w:val="en-AU"/>
        </w:rPr>
      </w:pPr>
    </w:p>
    <w:p w14:paraId="02C14D66" w14:textId="26E946B4" w:rsidR="00E52A77" w:rsidRDefault="00E52A77">
      <w:pPr>
        <w:widowControl/>
        <w:autoSpaceDE/>
        <w:autoSpaceDN/>
        <w:spacing w:after="160" w:line="259" w:lineRule="auto"/>
        <w:rPr>
          <w:rFonts w:ascii="VIC-SemiBold" w:eastAsiaTheme="minorHAnsi" w:hAnsi="VIC-SemiBold" w:cs="VIC-SemiBold"/>
          <w:b/>
          <w:bCs/>
          <w:color w:val="0099FF"/>
          <w:sz w:val="48"/>
          <w:szCs w:val="48"/>
          <w:lang w:val="en-AU"/>
        </w:rPr>
      </w:pPr>
    </w:p>
    <w:p w14:paraId="36B53D4C" w14:textId="77777777" w:rsidR="00B25726" w:rsidRDefault="00B25726">
      <w:pPr>
        <w:widowControl/>
        <w:autoSpaceDE/>
        <w:autoSpaceDN/>
        <w:spacing w:after="160" w:line="259" w:lineRule="auto"/>
        <w:rPr>
          <w:rFonts w:ascii="VIC-Bold" w:eastAsiaTheme="minorHAnsi" w:hAnsi="VIC-Bold" w:cs="VIC-Bold"/>
          <w:b/>
          <w:bCs/>
          <w:color w:val="003963"/>
          <w:sz w:val="30"/>
          <w:szCs w:val="30"/>
          <w:lang w:val="en-AU"/>
        </w:rPr>
      </w:pPr>
      <w:r>
        <w:rPr>
          <w:rFonts w:ascii="VIC-Bold" w:eastAsiaTheme="minorHAnsi" w:hAnsi="VIC-Bold" w:cs="VIC-Bold"/>
          <w:b/>
          <w:bCs/>
          <w:color w:val="003963"/>
          <w:sz w:val="30"/>
          <w:szCs w:val="30"/>
          <w:lang w:val="en-AU"/>
        </w:rPr>
        <w:br w:type="page"/>
      </w:r>
    </w:p>
    <w:p w14:paraId="46DF6247" w14:textId="1CC46DCE" w:rsidR="00E52A77" w:rsidRPr="004173E3" w:rsidRDefault="00E52A77" w:rsidP="004D4616">
      <w:pPr>
        <w:pStyle w:val="Heading2"/>
        <w:rPr>
          <w:rStyle w:val="Emphasis"/>
          <w:rFonts w:ascii="VIC-Bold" w:eastAsiaTheme="minorHAnsi" w:hAnsi="VIC-Bold" w:cs="VIC-Bold"/>
          <w:b w:val="0"/>
          <w:bCs/>
          <w:i w:val="0"/>
          <w:iCs w:val="0"/>
          <w:color w:val="003963"/>
          <w:sz w:val="30"/>
          <w:szCs w:val="30"/>
        </w:rPr>
      </w:pPr>
      <w:r>
        <w:rPr>
          <w:rFonts w:eastAsiaTheme="minorHAnsi"/>
        </w:rPr>
        <w:lastRenderedPageBreak/>
        <w:t>What we do</w:t>
      </w:r>
    </w:p>
    <w:p w14:paraId="5D16860C" w14:textId="77777777" w:rsidR="00A84407" w:rsidRPr="004D4616" w:rsidRDefault="00A84407" w:rsidP="004D4616">
      <w:pPr>
        <w:pStyle w:val="ListParagraph"/>
        <w:numPr>
          <w:ilvl w:val="0"/>
          <w:numId w:val="28"/>
        </w:numPr>
        <w:rPr>
          <w:lang w:val="en-AU"/>
        </w:rPr>
      </w:pPr>
      <w:r w:rsidRPr="004D4616">
        <w:rPr>
          <w:lang w:val="en-AU"/>
        </w:rPr>
        <w:t>The Authority:</w:t>
      </w:r>
    </w:p>
    <w:p w14:paraId="20DAF53B" w14:textId="77777777" w:rsidR="00A84407" w:rsidRPr="004D4616" w:rsidRDefault="00A84407" w:rsidP="004D4616">
      <w:pPr>
        <w:pStyle w:val="ListParagraph"/>
        <w:numPr>
          <w:ilvl w:val="0"/>
          <w:numId w:val="28"/>
        </w:numPr>
        <w:rPr>
          <w:lang w:val="en-AU"/>
        </w:rPr>
      </w:pPr>
      <w:r w:rsidRPr="004D4616">
        <w:rPr>
          <w:lang w:val="en-AU"/>
        </w:rPr>
        <w:t>Provides oversight of practitioner capability through effective and efficient registration and licensing processes</w:t>
      </w:r>
    </w:p>
    <w:p w14:paraId="60C77299" w14:textId="77777777" w:rsidR="00A84407" w:rsidRPr="004D4616" w:rsidRDefault="00A84407" w:rsidP="004D4616">
      <w:pPr>
        <w:pStyle w:val="ListParagraph"/>
        <w:numPr>
          <w:ilvl w:val="0"/>
          <w:numId w:val="28"/>
        </w:numPr>
        <w:rPr>
          <w:lang w:val="en-AU"/>
        </w:rPr>
      </w:pPr>
      <w:r w:rsidRPr="004D4616">
        <w:rPr>
          <w:lang w:val="en-AU"/>
        </w:rPr>
        <w:t>Monitors industry compliance with building and plumbing standards through proactive inspections and audits</w:t>
      </w:r>
    </w:p>
    <w:p w14:paraId="4D69150E" w14:textId="77777777" w:rsidR="00A84407" w:rsidRPr="004D4616" w:rsidRDefault="00A84407" w:rsidP="004D4616">
      <w:pPr>
        <w:pStyle w:val="ListParagraph"/>
        <w:numPr>
          <w:ilvl w:val="0"/>
          <w:numId w:val="28"/>
        </w:numPr>
        <w:rPr>
          <w:lang w:val="en-AU"/>
        </w:rPr>
      </w:pPr>
      <w:r w:rsidRPr="004D4616">
        <w:rPr>
          <w:lang w:val="en-AU"/>
        </w:rPr>
        <w:t xml:space="preserve">Uses enforcement powers when appropriate to achieve compliance and acts in the public </w:t>
      </w:r>
      <w:proofErr w:type="gramStart"/>
      <w:r w:rsidRPr="004D4616">
        <w:rPr>
          <w:lang w:val="en-AU"/>
        </w:rPr>
        <w:t>interest</w:t>
      </w:r>
      <w:proofErr w:type="gramEnd"/>
    </w:p>
    <w:p w14:paraId="1F1E00E7" w14:textId="77777777" w:rsidR="00A84407" w:rsidRPr="004D4616" w:rsidRDefault="00A84407" w:rsidP="004D4616">
      <w:pPr>
        <w:pStyle w:val="ListParagraph"/>
        <w:numPr>
          <w:ilvl w:val="0"/>
          <w:numId w:val="28"/>
        </w:numPr>
        <w:rPr>
          <w:lang w:val="en-AU"/>
        </w:rPr>
      </w:pPr>
      <w:r w:rsidRPr="004D4616">
        <w:rPr>
          <w:lang w:val="en-AU"/>
        </w:rPr>
        <w:t xml:space="preserve">Applies intelligence and data, including research and analytics, to better inform our regulatory strategy and </w:t>
      </w:r>
      <w:proofErr w:type="gramStart"/>
      <w:r w:rsidRPr="004D4616">
        <w:rPr>
          <w:lang w:val="en-AU"/>
        </w:rPr>
        <w:t>approach</w:t>
      </w:r>
      <w:proofErr w:type="gramEnd"/>
    </w:p>
    <w:p w14:paraId="6B77BEBA" w14:textId="5AF0334F" w:rsidR="00A84407" w:rsidRPr="004D4616" w:rsidRDefault="00A84407" w:rsidP="004D4616">
      <w:pPr>
        <w:pStyle w:val="ListParagraph"/>
        <w:numPr>
          <w:ilvl w:val="0"/>
          <w:numId w:val="28"/>
        </w:numPr>
        <w:rPr>
          <w:rStyle w:val="Emphasis"/>
          <w:rFonts w:ascii="VIC-Light" w:eastAsiaTheme="minorHAnsi" w:hAnsi="VIC-Light" w:cs="VIC-Light"/>
          <w:i w:val="0"/>
          <w:iCs w:val="0"/>
          <w:sz w:val="21"/>
          <w:szCs w:val="21"/>
          <w:lang w:val="en-AU"/>
        </w:rPr>
      </w:pPr>
      <w:r w:rsidRPr="004D4616">
        <w:rPr>
          <w:lang w:val="en-AU"/>
        </w:rPr>
        <w:t xml:space="preserve">Uses and shares our technical knowledge and expertise to improve the regulatory system, and to support builders, </w:t>
      </w:r>
      <w:proofErr w:type="gramStart"/>
      <w:r w:rsidRPr="004D4616">
        <w:rPr>
          <w:lang w:val="en-AU"/>
        </w:rPr>
        <w:t>plumbers</w:t>
      </w:r>
      <w:proofErr w:type="gramEnd"/>
      <w:r w:rsidRPr="004D4616">
        <w:rPr>
          <w:lang w:val="en-AU"/>
        </w:rPr>
        <w:t xml:space="preserve"> and other practitioners in the delivery of positive consumer outcomes.</w:t>
      </w:r>
    </w:p>
    <w:p w14:paraId="263C3589" w14:textId="77777777" w:rsidR="004173E3" w:rsidRDefault="004173E3" w:rsidP="00E52A77">
      <w:pPr>
        <w:widowControl/>
        <w:adjustRightInd w:val="0"/>
        <w:rPr>
          <w:rStyle w:val="Emphasis"/>
          <w:rFonts w:ascii="VIC-Light" w:eastAsiaTheme="minorHAnsi" w:hAnsi="VIC-Light" w:cs="VIC-Light"/>
          <w:i w:val="0"/>
          <w:iCs w:val="0"/>
          <w:color w:val="000000"/>
          <w:sz w:val="21"/>
          <w:szCs w:val="21"/>
          <w:lang w:val="en-AU"/>
        </w:rPr>
      </w:pPr>
    </w:p>
    <w:p w14:paraId="6CE8F9A9" w14:textId="77777777" w:rsidR="004173E3" w:rsidRDefault="004173E3" w:rsidP="00E52A77">
      <w:pPr>
        <w:widowControl/>
        <w:adjustRightInd w:val="0"/>
        <w:rPr>
          <w:rStyle w:val="Emphasis"/>
          <w:rFonts w:ascii="VIC-Light" w:eastAsiaTheme="minorHAnsi" w:hAnsi="VIC-Light" w:cs="VIC-Light"/>
          <w:i w:val="0"/>
          <w:iCs w:val="0"/>
          <w:color w:val="000000"/>
          <w:sz w:val="21"/>
          <w:szCs w:val="21"/>
          <w:lang w:val="en-AU"/>
        </w:rPr>
      </w:pPr>
    </w:p>
    <w:p w14:paraId="04923BC9" w14:textId="77777777" w:rsidR="00E52A77" w:rsidRDefault="00E52A77" w:rsidP="004D4616">
      <w:pPr>
        <w:pStyle w:val="Heading2"/>
        <w:rPr>
          <w:rFonts w:eastAsiaTheme="minorHAnsi"/>
        </w:rPr>
      </w:pPr>
      <w:r>
        <w:rPr>
          <w:rFonts w:eastAsiaTheme="minorHAnsi"/>
        </w:rPr>
        <w:t>Being a Trusted Regulator</w:t>
      </w:r>
    </w:p>
    <w:p w14:paraId="38D9510B" w14:textId="59C6A595" w:rsidR="00A84407" w:rsidRDefault="00A84407" w:rsidP="004D4616">
      <w:pPr>
        <w:rPr>
          <w:lang w:val="en-AU"/>
        </w:rPr>
      </w:pPr>
      <w:r>
        <w:rPr>
          <w:lang w:val="en-AU"/>
        </w:rPr>
        <w:t>The Authority prioritises its resources and regulatory effort on those areas which pose the</w:t>
      </w:r>
    </w:p>
    <w:p w14:paraId="6E855906" w14:textId="77777777" w:rsidR="00A84407" w:rsidRDefault="00A84407" w:rsidP="004D4616">
      <w:pPr>
        <w:rPr>
          <w:lang w:val="en-AU"/>
        </w:rPr>
      </w:pPr>
      <w:r>
        <w:rPr>
          <w:lang w:val="en-AU"/>
        </w:rPr>
        <w:t xml:space="preserve">greatest risks of harm to consumer outcomes. </w:t>
      </w:r>
    </w:p>
    <w:p w14:paraId="1E04C3C0" w14:textId="77777777" w:rsidR="00A84407" w:rsidRDefault="00A84407" w:rsidP="004D4616">
      <w:pPr>
        <w:rPr>
          <w:lang w:val="en-AU"/>
        </w:rPr>
      </w:pPr>
    </w:p>
    <w:p w14:paraId="1A4B0D50" w14:textId="0CB53025" w:rsidR="00A84407" w:rsidRPr="004D4616" w:rsidRDefault="00A84407" w:rsidP="004D4616">
      <w:pPr>
        <w:pStyle w:val="ListParagraph"/>
        <w:numPr>
          <w:ilvl w:val="0"/>
          <w:numId w:val="29"/>
        </w:numPr>
        <w:rPr>
          <w:lang w:val="en-AU"/>
        </w:rPr>
      </w:pPr>
      <w:r w:rsidRPr="004D4616">
        <w:rPr>
          <w:lang w:val="en-AU"/>
        </w:rPr>
        <w:t>The Authority commits to:</w:t>
      </w:r>
    </w:p>
    <w:p w14:paraId="04623440" w14:textId="77777777" w:rsidR="00A84407" w:rsidRPr="004D4616" w:rsidRDefault="00A84407" w:rsidP="004D4616">
      <w:pPr>
        <w:pStyle w:val="ListParagraph"/>
        <w:numPr>
          <w:ilvl w:val="0"/>
          <w:numId w:val="29"/>
        </w:numPr>
        <w:rPr>
          <w:lang w:val="en-AU"/>
        </w:rPr>
      </w:pPr>
      <w:r w:rsidRPr="004D4616">
        <w:rPr>
          <w:lang w:val="en-AU"/>
        </w:rPr>
        <w:t>Focusing on consumer outcomes through our regulatory activities</w:t>
      </w:r>
    </w:p>
    <w:p w14:paraId="1FEC04A3" w14:textId="77777777" w:rsidR="00A84407" w:rsidRPr="004D4616" w:rsidRDefault="00A84407" w:rsidP="004D4616">
      <w:pPr>
        <w:pStyle w:val="ListParagraph"/>
        <w:numPr>
          <w:ilvl w:val="0"/>
          <w:numId w:val="29"/>
        </w:numPr>
        <w:rPr>
          <w:lang w:val="en-AU"/>
        </w:rPr>
      </w:pPr>
      <w:r w:rsidRPr="004D4616">
        <w:rPr>
          <w:lang w:val="en-AU"/>
        </w:rPr>
        <w:t xml:space="preserve">Communicating clearly how we regulate practitioners and our expectations of all </w:t>
      </w:r>
      <w:proofErr w:type="gramStart"/>
      <w:r w:rsidRPr="004D4616">
        <w:rPr>
          <w:lang w:val="en-AU"/>
        </w:rPr>
        <w:t>practitioners</w:t>
      </w:r>
      <w:proofErr w:type="gramEnd"/>
    </w:p>
    <w:p w14:paraId="5D4CD60B" w14:textId="77777777" w:rsidR="00A84407" w:rsidRPr="004D4616" w:rsidRDefault="00A84407" w:rsidP="004D4616">
      <w:pPr>
        <w:pStyle w:val="ListParagraph"/>
        <w:numPr>
          <w:ilvl w:val="0"/>
          <w:numId w:val="29"/>
        </w:numPr>
        <w:rPr>
          <w:lang w:val="en-AU"/>
        </w:rPr>
      </w:pPr>
      <w:r w:rsidRPr="004D4616">
        <w:rPr>
          <w:lang w:val="en-AU"/>
        </w:rPr>
        <w:t>Using our regulatory tools effectively and in a timely manner</w:t>
      </w:r>
    </w:p>
    <w:p w14:paraId="7078884B" w14:textId="39A824FE" w:rsidR="00A84407" w:rsidRPr="004D4616" w:rsidRDefault="00A84407" w:rsidP="004D4616">
      <w:pPr>
        <w:pStyle w:val="ListParagraph"/>
        <w:numPr>
          <w:ilvl w:val="0"/>
          <w:numId w:val="29"/>
        </w:numPr>
        <w:rPr>
          <w:rStyle w:val="Emphasis"/>
          <w:rFonts w:ascii="VIC-Light" w:eastAsiaTheme="minorHAnsi" w:hAnsi="VIC-Light" w:cs="VIC-Light"/>
          <w:i w:val="0"/>
          <w:iCs w:val="0"/>
          <w:sz w:val="21"/>
          <w:szCs w:val="21"/>
          <w:lang w:val="en-AU"/>
        </w:rPr>
      </w:pPr>
      <w:r w:rsidRPr="004D4616">
        <w:rPr>
          <w:lang w:val="en-AU"/>
        </w:rPr>
        <w:t>Taking corrective action – including removal of practitioners from the industry – to improve the safety and quality of the built environment.</w:t>
      </w:r>
    </w:p>
    <w:p w14:paraId="1A92FB2C" w14:textId="77777777" w:rsidR="000F1262" w:rsidRDefault="000F1262" w:rsidP="00E52A77">
      <w:pPr>
        <w:widowControl/>
        <w:adjustRightInd w:val="0"/>
        <w:rPr>
          <w:rFonts w:ascii="VIC-SemiBold" w:eastAsiaTheme="minorHAnsi" w:hAnsi="VIC-SemiBold" w:cs="VIC-SemiBold"/>
          <w:b/>
          <w:bCs/>
          <w:color w:val="0099FF"/>
          <w:sz w:val="36"/>
          <w:szCs w:val="36"/>
          <w:lang w:val="en-AU"/>
        </w:rPr>
      </w:pPr>
    </w:p>
    <w:p w14:paraId="2D618248" w14:textId="39480DC1" w:rsidR="00E52A77" w:rsidRDefault="00E52A77" w:rsidP="004D4616">
      <w:pPr>
        <w:pStyle w:val="Heading2"/>
        <w:rPr>
          <w:rFonts w:eastAsiaTheme="minorHAnsi"/>
        </w:rPr>
      </w:pPr>
      <w:r>
        <w:rPr>
          <w:rFonts w:eastAsiaTheme="minorHAnsi"/>
        </w:rPr>
        <w:t>We are transparent and clear about what is acceptable and</w:t>
      </w:r>
      <w:r w:rsidR="004D4616">
        <w:rPr>
          <w:rFonts w:eastAsiaTheme="minorHAnsi"/>
        </w:rPr>
        <w:t xml:space="preserve"> </w:t>
      </w:r>
      <w:r>
        <w:rPr>
          <w:rFonts w:eastAsiaTheme="minorHAnsi"/>
        </w:rPr>
        <w:t>what is not and the consequences of non-compliance.</w:t>
      </w:r>
    </w:p>
    <w:p w14:paraId="63F21312" w14:textId="77777777" w:rsidR="00B25726" w:rsidRDefault="00B25726" w:rsidP="00E52A77">
      <w:pPr>
        <w:widowControl/>
        <w:adjustRightInd w:val="0"/>
        <w:rPr>
          <w:rFonts w:ascii="VIC-SemiBold" w:eastAsiaTheme="minorHAnsi" w:hAnsi="VIC-SemiBold" w:cs="VIC-SemiBold"/>
          <w:b/>
          <w:bCs/>
          <w:color w:val="0099FF"/>
          <w:sz w:val="36"/>
          <w:szCs w:val="36"/>
          <w:lang w:val="en-AU"/>
        </w:rPr>
      </w:pPr>
    </w:p>
    <w:p w14:paraId="4DFBF27D" w14:textId="77777777" w:rsidR="00B25726" w:rsidRDefault="00B25726" w:rsidP="00B25726">
      <w:pPr>
        <w:widowControl/>
        <w:adjustRightInd w:val="0"/>
        <w:jc w:val="center"/>
        <w:rPr>
          <w:rFonts w:ascii="VIC-Light" w:eastAsiaTheme="minorHAnsi" w:hAnsi="VIC-Light" w:cs="VIC-Light"/>
          <w:sz w:val="21"/>
          <w:szCs w:val="21"/>
          <w:lang w:val="en-AU"/>
        </w:rPr>
      </w:pPr>
    </w:p>
    <w:p w14:paraId="701D0C70" w14:textId="77777777" w:rsidR="00B25726" w:rsidRDefault="00B25726" w:rsidP="00B25726">
      <w:pPr>
        <w:widowControl/>
        <w:adjustRightInd w:val="0"/>
        <w:jc w:val="center"/>
        <w:rPr>
          <w:rFonts w:ascii="VIC-Light" w:eastAsiaTheme="minorHAnsi" w:hAnsi="VIC-Light" w:cs="VIC-Light"/>
          <w:sz w:val="21"/>
          <w:szCs w:val="21"/>
          <w:lang w:val="en-AU"/>
        </w:rPr>
      </w:pPr>
    </w:p>
    <w:p w14:paraId="4A02771D" w14:textId="77777777" w:rsidR="00B25726" w:rsidRDefault="00B25726" w:rsidP="00B25726">
      <w:pPr>
        <w:widowControl/>
        <w:adjustRightInd w:val="0"/>
        <w:jc w:val="center"/>
        <w:rPr>
          <w:rFonts w:ascii="VIC-Light" w:eastAsiaTheme="minorHAnsi" w:hAnsi="VIC-Light" w:cs="VIC-Light"/>
          <w:sz w:val="21"/>
          <w:szCs w:val="21"/>
          <w:lang w:val="en-AU"/>
        </w:rPr>
      </w:pPr>
    </w:p>
    <w:p w14:paraId="359C2185" w14:textId="77777777" w:rsidR="00B25726" w:rsidRDefault="00B25726" w:rsidP="00B25726">
      <w:pPr>
        <w:widowControl/>
        <w:adjustRightInd w:val="0"/>
        <w:jc w:val="center"/>
        <w:rPr>
          <w:rFonts w:ascii="VIC-Light" w:eastAsiaTheme="minorHAnsi" w:hAnsi="VIC-Light" w:cs="VIC-Light"/>
          <w:sz w:val="21"/>
          <w:szCs w:val="21"/>
          <w:lang w:val="en-AU"/>
        </w:rPr>
      </w:pPr>
    </w:p>
    <w:p w14:paraId="4E9B8155" w14:textId="77777777" w:rsidR="00B25726" w:rsidRDefault="00B25726" w:rsidP="00B25726">
      <w:pPr>
        <w:widowControl/>
        <w:adjustRightInd w:val="0"/>
        <w:jc w:val="center"/>
        <w:rPr>
          <w:rFonts w:ascii="VIC-Light" w:eastAsiaTheme="minorHAnsi" w:hAnsi="VIC-Light" w:cs="VIC-Light"/>
          <w:sz w:val="21"/>
          <w:szCs w:val="21"/>
          <w:lang w:val="en-AU"/>
        </w:rPr>
      </w:pPr>
    </w:p>
    <w:p w14:paraId="059A052F" w14:textId="77777777" w:rsidR="00B25726" w:rsidRDefault="00B25726" w:rsidP="00B25726">
      <w:pPr>
        <w:widowControl/>
        <w:adjustRightInd w:val="0"/>
        <w:jc w:val="center"/>
        <w:rPr>
          <w:rFonts w:ascii="VIC-Light" w:eastAsiaTheme="minorHAnsi" w:hAnsi="VIC-Light" w:cs="VIC-Light"/>
          <w:sz w:val="21"/>
          <w:szCs w:val="21"/>
          <w:lang w:val="en-AU"/>
        </w:rPr>
      </w:pPr>
    </w:p>
    <w:p w14:paraId="1F6A01D7" w14:textId="77777777" w:rsidR="00B25726" w:rsidRDefault="00B25726" w:rsidP="00E52A77">
      <w:pPr>
        <w:widowControl/>
        <w:adjustRightInd w:val="0"/>
        <w:rPr>
          <w:rFonts w:ascii="VIC-SemiBold" w:eastAsiaTheme="minorHAnsi" w:hAnsi="VIC-SemiBold" w:cs="VIC-SemiBold"/>
          <w:b/>
          <w:bCs/>
          <w:color w:val="0099FF"/>
          <w:sz w:val="36"/>
          <w:szCs w:val="36"/>
          <w:lang w:val="en-AU"/>
        </w:rPr>
      </w:pPr>
    </w:p>
    <w:p w14:paraId="45DCE6B4" w14:textId="348B9821" w:rsidR="00E52A77" w:rsidRPr="00B25726" w:rsidRDefault="00E52A77" w:rsidP="004D4616">
      <w:pPr>
        <w:pStyle w:val="Heading2"/>
        <w:rPr>
          <w:rFonts w:ascii="VIC-SemiBold" w:eastAsiaTheme="minorHAnsi" w:hAnsi="VIC-SemiBold" w:cs="VIC-SemiBold"/>
          <w:color w:val="0099FF"/>
          <w:sz w:val="48"/>
          <w:szCs w:val="48"/>
        </w:rPr>
      </w:pPr>
      <w:r>
        <w:rPr>
          <w:rStyle w:val="Emphasis"/>
          <w:rFonts w:ascii="VIC-Light" w:eastAsiaTheme="minorHAnsi" w:hAnsi="VIC-Light" w:cs="VIC-Light"/>
          <w:i w:val="0"/>
          <w:iCs w:val="0"/>
          <w:color w:val="000000"/>
          <w:sz w:val="21"/>
          <w:szCs w:val="21"/>
        </w:rPr>
        <w:br w:type="page"/>
      </w:r>
      <w:r>
        <w:rPr>
          <w:rFonts w:eastAsiaTheme="minorHAnsi"/>
        </w:rPr>
        <w:lastRenderedPageBreak/>
        <w:t>Our expectations</w:t>
      </w:r>
    </w:p>
    <w:p w14:paraId="0B09EE61" w14:textId="2EB92167" w:rsidR="00A84407" w:rsidRDefault="00A84407" w:rsidP="004D4616">
      <w:pPr>
        <w:rPr>
          <w:lang w:val="en-AU"/>
        </w:rPr>
      </w:pPr>
      <w:r>
        <w:rPr>
          <w:lang w:val="en-AU"/>
        </w:rPr>
        <w:t>Building and plumbing practitioners are accountable to deliver safe and compliant work. We expect that all practitioners have the relevant capability and competence to carry out any work according to legislative and industry standards.</w:t>
      </w:r>
    </w:p>
    <w:p w14:paraId="1E78D6DD" w14:textId="77777777" w:rsidR="00A84407" w:rsidRDefault="00A84407" w:rsidP="004D4616">
      <w:pPr>
        <w:rPr>
          <w:lang w:val="en-AU"/>
        </w:rPr>
      </w:pPr>
    </w:p>
    <w:p w14:paraId="71B13B9C" w14:textId="4599C3DE" w:rsidR="00A84407" w:rsidRPr="000F1262" w:rsidRDefault="00A84407" w:rsidP="004D4616">
      <w:pPr>
        <w:rPr>
          <w:lang w:val="en-AU"/>
        </w:rPr>
      </w:pPr>
      <w:r>
        <w:rPr>
          <w:lang w:val="en-AU"/>
        </w:rPr>
        <w:t>The Authority will support those practitioners who aim to deliver the right outcomes. However, for those practitioners who do not deliver safe and compliant outcomes, the Authority will use our regulatory powers to bring them into compliance. Where justified, we will seek to remove practitioners from the industry.</w:t>
      </w:r>
    </w:p>
    <w:p w14:paraId="4300C325" w14:textId="77777777" w:rsidR="00E52A77" w:rsidRDefault="00E52A77" w:rsidP="00E52A77">
      <w:pPr>
        <w:widowControl/>
        <w:adjustRightInd w:val="0"/>
        <w:rPr>
          <w:rFonts w:ascii="VIC-Bold" w:eastAsiaTheme="minorHAnsi" w:hAnsi="VIC-Bold" w:cs="VIC-Bold"/>
          <w:b/>
          <w:bCs/>
          <w:color w:val="003963"/>
          <w:sz w:val="30"/>
          <w:szCs w:val="30"/>
          <w:lang w:val="en-AU"/>
        </w:rPr>
      </w:pPr>
    </w:p>
    <w:p w14:paraId="3AAA92BC" w14:textId="1802EB12" w:rsidR="00E52A77" w:rsidRDefault="00E52A77" w:rsidP="004D4616">
      <w:pPr>
        <w:pStyle w:val="Heading2"/>
        <w:rPr>
          <w:rFonts w:eastAsiaTheme="minorHAnsi"/>
        </w:rPr>
      </w:pPr>
      <w:r>
        <w:rPr>
          <w:rFonts w:eastAsiaTheme="minorHAnsi"/>
        </w:rPr>
        <w:t>Our people</w:t>
      </w:r>
    </w:p>
    <w:p w14:paraId="630D406E" w14:textId="2C283940" w:rsidR="00A84407" w:rsidRDefault="00A84407" w:rsidP="004D4616">
      <w:pPr>
        <w:rPr>
          <w:lang w:val="en-AU"/>
        </w:rPr>
      </w:pPr>
      <w:r>
        <w:rPr>
          <w:lang w:val="en-AU"/>
        </w:rPr>
        <w:t xml:space="preserve">To deliver on our commitments, we empower, </w:t>
      </w:r>
      <w:proofErr w:type="gramStart"/>
      <w:r>
        <w:rPr>
          <w:lang w:val="en-AU"/>
        </w:rPr>
        <w:t>train</w:t>
      </w:r>
      <w:proofErr w:type="gramEnd"/>
      <w:r>
        <w:rPr>
          <w:lang w:val="en-AU"/>
        </w:rPr>
        <w:t xml:space="preserve"> and support our people to make decisions and</w:t>
      </w:r>
      <w:r w:rsidR="004D4616">
        <w:rPr>
          <w:lang w:val="en-AU"/>
        </w:rPr>
        <w:t xml:space="preserve"> </w:t>
      </w:r>
      <w:r>
        <w:rPr>
          <w:lang w:val="en-AU"/>
        </w:rPr>
        <w:t xml:space="preserve">undertake their roles effectively. We support a positive workplace culture which focuses on staff wellbeing. </w:t>
      </w:r>
    </w:p>
    <w:p w14:paraId="67C44E9E" w14:textId="35690370" w:rsidR="00A84407" w:rsidRPr="00A84407" w:rsidRDefault="00A84407" w:rsidP="004D4616">
      <w:pPr>
        <w:rPr>
          <w:lang w:val="en-AU"/>
        </w:rPr>
      </w:pPr>
      <w:r>
        <w:rPr>
          <w:lang w:val="en-AU"/>
        </w:rPr>
        <w:t xml:space="preserve">Our robust integrity framework requires that </w:t>
      </w:r>
      <w:proofErr w:type="gramStart"/>
      <w:r>
        <w:rPr>
          <w:lang w:val="en-AU"/>
        </w:rPr>
        <w:t>all of</w:t>
      </w:r>
      <w:proofErr w:type="gramEnd"/>
      <w:r>
        <w:rPr>
          <w:lang w:val="en-AU"/>
        </w:rPr>
        <w:t xml:space="preserve"> our people act with the highest standards of probity to ensure that positive consumer outcomes are the focus of what we do.</w:t>
      </w:r>
    </w:p>
    <w:p w14:paraId="11AAE284" w14:textId="77777777" w:rsidR="00E52A77" w:rsidRDefault="00E52A77" w:rsidP="00E52A77">
      <w:pPr>
        <w:widowControl/>
        <w:adjustRightInd w:val="0"/>
        <w:rPr>
          <w:rFonts w:ascii="VIC-Light" w:eastAsiaTheme="minorHAnsi" w:hAnsi="VIC-Light" w:cs="VIC-Light"/>
          <w:color w:val="000000"/>
          <w:sz w:val="21"/>
          <w:szCs w:val="21"/>
          <w:lang w:val="en-AU"/>
        </w:rPr>
      </w:pPr>
    </w:p>
    <w:p w14:paraId="5DA116E9" w14:textId="2D0D56DC" w:rsidR="00E52A77" w:rsidRDefault="00E52A77" w:rsidP="004D4616">
      <w:pPr>
        <w:pStyle w:val="Heading2"/>
        <w:rPr>
          <w:rFonts w:eastAsiaTheme="minorHAnsi"/>
        </w:rPr>
      </w:pPr>
      <w:r>
        <w:rPr>
          <w:rFonts w:eastAsiaTheme="minorHAnsi"/>
        </w:rPr>
        <w:t>How we monitor our</w:t>
      </w:r>
      <w:r w:rsidR="00A84407">
        <w:rPr>
          <w:rFonts w:eastAsiaTheme="minorHAnsi"/>
        </w:rPr>
        <w:t xml:space="preserve"> </w:t>
      </w:r>
      <w:r>
        <w:rPr>
          <w:rFonts w:eastAsiaTheme="minorHAnsi"/>
        </w:rPr>
        <w:t>performance</w:t>
      </w:r>
    </w:p>
    <w:p w14:paraId="027FF410" w14:textId="3F49CA85" w:rsidR="00A84407" w:rsidRDefault="00A84407" w:rsidP="004D4616">
      <w:pPr>
        <w:rPr>
          <w:lang w:val="en-AU"/>
        </w:rPr>
      </w:pPr>
      <w:r>
        <w:rPr>
          <w:lang w:val="en-AU"/>
        </w:rPr>
        <w:t>The Authority’s Board and Executive Leadership Team monitor the performance of the Authority’s</w:t>
      </w:r>
      <w:r w:rsidR="004D4616">
        <w:rPr>
          <w:lang w:val="en-AU"/>
        </w:rPr>
        <w:t xml:space="preserve"> </w:t>
      </w:r>
      <w:r>
        <w:rPr>
          <w:lang w:val="en-AU"/>
        </w:rPr>
        <w:t>regulatory strategies and compliance programs. The Authority provides public reporting on its performance each year through its Annual Report.</w:t>
      </w:r>
    </w:p>
    <w:p w14:paraId="01C2C336" w14:textId="77777777" w:rsidR="00A84407" w:rsidRDefault="00A84407" w:rsidP="004D4616">
      <w:pPr>
        <w:rPr>
          <w:lang w:val="en-AU"/>
        </w:rPr>
      </w:pPr>
    </w:p>
    <w:p w14:paraId="27C7A758" w14:textId="77777777" w:rsidR="00A84407" w:rsidRDefault="00A84407" w:rsidP="004D4616">
      <w:pPr>
        <w:rPr>
          <w:lang w:val="en-AU"/>
        </w:rPr>
      </w:pPr>
      <w:r>
        <w:rPr>
          <w:lang w:val="en-AU"/>
        </w:rPr>
        <w:t xml:space="preserve">The biannual Compliance and Enforcement Report is designed to give industry, </w:t>
      </w:r>
      <w:proofErr w:type="gramStart"/>
      <w:r>
        <w:rPr>
          <w:lang w:val="en-AU"/>
        </w:rPr>
        <w:t>practitioners</w:t>
      </w:r>
      <w:proofErr w:type="gramEnd"/>
      <w:r>
        <w:rPr>
          <w:lang w:val="en-AU"/>
        </w:rPr>
        <w:t xml:space="preserve"> and the community an insight into our activities. The Building Documentation Audit program aims to identify and reduce non-compliant building work in Victoria.</w:t>
      </w:r>
    </w:p>
    <w:p w14:paraId="316B9256" w14:textId="77777777" w:rsidR="00A84407" w:rsidRDefault="00A84407" w:rsidP="004D4616">
      <w:pPr>
        <w:rPr>
          <w:lang w:val="en-AU"/>
        </w:rPr>
      </w:pPr>
    </w:p>
    <w:p w14:paraId="06D9C85C" w14:textId="77777777" w:rsidR="00A84407" w:rsidRDefault="00A84407" w:rsidP="004D4616">
      <w:pPr>
        <w:rPr>
          <w:lang w:val="en-AU"/>
        </w:rPr>
      </w:pPr>
      <w:r>
        <w:rPr>
          <w:lang w:val="en-AU"/>
        </w:rPr>
        <w:t>The Authority regularly publishes reports following desktop reviews of building permit and occupancy permit documents to ensure practitioners are carrying out their functions correctly.</w:t>
      </w:r>
    </w:p>
    <w:p w14:paraId="6BE8201A" w14:textId="77777777" w:rsidR="00A84407" w:rsidRDefault="00A84407" w:rsidP="004D4616">
      <w:pPr>
        <w:rPr>
          <w:lang w:val="en-AU"/>
        </w:rPr>
      </w:pPr>
    </w:p>
    <w:p w14:paraId="09A2D8F9" w14:textId="77777777" w:rsidR="00B25726" w:rsidRDefault="00A84407" w:rsidP="004D4616">
      <w:pPr>
        <w:rPr>
          <w:color w:val="000000"/>
          <w:lang w:val="en-AU"/>
        </w:rPr>
      </w:pPr>
      <w:r>
        <w:rPr>
          <w:lang w:val="en-AU"/>
        </w:rPr>
        <w:t>The Authority is improving its performance and evaluation framework to ensure that we can measure our success as a trusted regulator and targeted enforcer.</w:t>
      </w:r>
      <w:r>
        <w:rPr>
          <w:color w:val="000000"/>
          <w:lang w:val="en-AU"/>
        </w:rPr>
        <w:t xml:space="preserve"> </w:t>
      </w:r>
    </w:p>
    <w:p w14:paraId="5AF9134E" w14:textId="77777777" w:rsidR="00B25726" w:rsidRDefault="00B25726" w:rsidP="00E52A77">
      <w:pPr>
        <w:widowControl/>
        <w:adjustRightInd w:val="0"/>
        <w:rPr>
          <w:rFonts w:ascii="VIC-Light" w:eastAsiaTheme="minorHAnsi" w:hAnsi="VIC-Light" w:cs="VIC-Light"/>
          <w:color w:val="000000"/>
          <w:sz w:val="21"/>
          <w:szCs w:val="21"/>
          <w:lang w:val="en-AU"/>
        </w:rPr>
      </w:pPr>
    </w:p>
    <w:p w14:paraId="17E4FC6F" w14:textId="77777777" w:rsidR="00B25726" w:rsidRDefault="00B25726" w:rsidP="00E52A77">
      <w:pPr>
        <w:widowControl/>
        <w:adjustRightInd w:val="0"/>
        <w:rPr>
          <w:rFonts w:ascii="VIC-Light" w:eastAsiaTheme="minorHAnsi" w:hAnsi="VIC-Light" w:cs="VIC-Light"/>
          <w:color w:val="000000"/>
          <w:sz w:val="21"/>
          <w:szCs w:val="21"/>
          <w:lang w:val="en-AU"/>
        </w:rPr>
      </w:pPr>
    </w:p>
    <w:p w14:paraId="23CE8C94" w14:textId="77777777" w:rsidR="00B25726" w:rsidRDefault="00B25726" w:rsidP="00E52A77">
      <w:pPr>
        <w:widowControl/>
        <w:adjustRightInd w:val="0"/>
        <w:rPr>
          <w:rFonts w:ascii="VIC-Light" w:eastAsiaTheme="minorHAnsi" w:hAnsi="VIC-Light" w:cs="VIC-Light"/>
          <w:color w:val="000000"/>
          <w:sz w:val="21"/>
          <w:szCs w:val="21"/>
          <w:lang w:val="en-AU"/>
        </w:rPr>
      </w:pPr>
    </w:p>
    <w:p w14:paraId="6296CC90" w14:textId="77777777" w:rsidR="00B25726" w:rsidRDefault="00B25726" w:rsidP="00B25726">
      <w:pPr>
        <w:widowControl/>
        <w:adjustRightInd w:val="0"/>
        <w:jc w:val="center"/>
        <w:rPr>
          <w:rFonts w:ascii="VIC-Light" w:eastAsiaTheme="minorHAnsi" w:hAnsi="VIC-Light" w:cs="VIC-Light"/>
          <w:sz w:val="21"/>
          <w:szCs w:val="21"/>
          <w:lang w:val="en-AU"/>
        </w:rPr>
      </w:pPr>
    </w:p>
    <w:p w14:paraId="050D1EC8" w14:textId="77777777" w:rsidR="00B25726" w:rsidRDefault="00B25726" w:rsidP="00B25726">
      <w:pPr>
        <w:widowControl/>
        <w:adjustRightInd w:val="0"/>
        <w:jc w:val="center"/>
        <w:rPr>
          <w:rFonts w:ascii="VIC-Light" w:eastAsiaTheme="minorHAnsi" w:hAnsi="VIC-Light" w:cs="VIC-Light"/>
          <w:sz w:val="21"/>
          <w:szCs w:val="21"/>
          <w:lang w:val="en-AU"/>
        </w:rPr>
      </w:pPr>
    </w:p>
    <w:p w14:paraId="58590AD7" w14:textId="77777777" w:rsidR="00B25726" w:rsidRDefault="00B25726" w:rsidP="00B25726">
      <w:pPr>
        <w:widowControl/>
        <w:adjustRightInd w:val="0"/>
        <w:jc w:val="center"/>
        <w:rPr>
          <w:rFonts w:ascii="VIC-Light" w:eastAsiaTheme="minorHAnsi" w:hAnsi="VIC-Light" w:cs="VIC-Light"/>
          <w:sz w:val="21"/>
          <w:szCs w:val="21"/>
          <w:lang w:val="en-AU"/>
        </w:rPr>
      </w:pPr>
    </w:p>
    <w:p w14:paraId="3D74E4A9" w14:textId="77777777" w:rsidR="00B25726" w:rsidRDefault="00B25726" w:rsidP="00B25726">
      <w:pPr>
        <w:widowControl/>
        <w:adjustRightInd w:val="0"/>
        <w:jc w:val="center"/>
        <w:rPr>
          <w:rFonts w:ascii="VIC-Light" w:eastAsiaTheme="minorHAnsi" w:hAnsi="VIC-Light" w:cs="VIC-Light"/>
          <w:sz w:val="21"/>
          <w:szCs w:val="21"/>
          <w:lang w:val="en-AU"/>
        </w:rPr>
      </w:pPr>
    </w:p>
    <w:p w14:paraId="4C69A4B5" w14:textId="77777777" w:rsidR="00B25726" w:rsidRDefault="00B25726" w:rsidP="004D4616">
      <w:pPr>
        <w:widowControl/>
        <w:adjustRightInd w:val="0"/>
        <w:rPr>
          <w:rFonts w:ascii="VIC-Light" w:eastAsiaTheme="minorHAnsi" w:hAnsi="VIC-Light" w:cs="VIC-Light"/>
          <w:sz w:val="21"/>
          <w:szCs w:val="21"/>
          <w:lang w:val="en-AU"/>
        </w:rPr>
      </w:pPr>
    </w:p>
    <w:p w14:paraId="43C3EDF0" w14:textId="77777777" w:rsidR="00B25726" w:rsidRDefault="00B25726" w:rsidP="00B25726">
      <w:pPr>
        <w:widowControl/>
        <w:adjustRightInd w:val="0"/>
        <w:jc w:val="center"/>
        <w:rPr>
          <w:rFonts w:ascii="VIC-Light" w:eastAsiaTheme="minorHAnsi" w:hAnsi="VIC-Light" w:cs="VIC-Light"/>
          <w:sz w:val="21"/>
          <w:szCs w:val="21"/>
          <w:lang w:val="en-AU"/>
        </w:rPr>
      </w:pPr>
    </w:p>
    <w:p w14:paraId="6955D7F0" w14:textId="77777777" w:rsidR="00B25726" w:rsidRDefault="00B25726" w:rsidP="00B25726">
      <w:pPr>
        <w:widowControl/>
        <w:adjustRightInd w:val="0"/>
        <w:jc w:val="center"/>
        <w:rPr>
          <w:rFonts w:ascii="VIC-Light" w:eastAsiaTheme="minorHAnsi" w:hAnsi="VIC-Light" w:cs="VIC-Light"/>
          <w:sz w:val="21"/>
          <w:szCs w:val="21"/>
          <w:lang w:val="en-AU"/>
        </w:rPr>
      </w:pPr>
    </w:p>
    <w:p w14:paraId="389752B7" w14:textId="77777777" w:rsidR="00B25726" w:rsidRDefault="00B25726" w:rsidP="004D4616">
      <w:pPr>
        <w:pStyle w:val="Heading2"/>
        <w:rPr>
          <w:rFonts w:eastAsiaTheme="minorHAnsi"/>
        </w:rPr>
      </w:pPr>
    </w:p>
    <w:p w14:paraId="64A083C3" w14:textId="46B4DEA7" w:rsidR="00E52A77" w:rsidRPr="00A84407" w:rsidRDefault="00E52A77" w:rsidP="004D4616">
      <w:pPr>
        <w:pStyle w:val="Heading1"/>
        <w:rPr>
          <w:rFonts w:ascii="VIC-Light" w:eastAsiaTheme="minorHAnsi" w:hAnsi="VIC-Light" w:cs="VIC-Light"/>
          <w:sz w:val="21"/>
          <w:szCs w:val="21"/>
        </w:rPr>
      </w:pPr>
      <w:r>
        <w:rPr>
          <w:rFonts w:ascii="VIC-Light" w:eastAsiaTheme="minorHAnsi" w:hAnsi="VIC-Light" w:cs="VIC-Light"/>
          <w:color w:val="000000"/>
          <w:sz w:val="21"/>
          <w:szCs w:val="21"/>
        </w:rPr>
        <w:br w:type="page"/>
      </w:r>
      <w:r>
        <w:rPr>
          <w:rFonts w:eastAsiaTheme="minorHAnsi"/>
        </w:rPr>
        <w:lastRenderedPageBreak/>
        <w:t xml:space="preserve">Who we </w:t>
      </w:r>
      <w:proofErr w:type="gramStart"/>
      <w:r>
        <w:rPr>
          <w:rFonts w:eastAsiaTheme="minorHAnsi"/>
        </w:rPr>
        <w:t>regulate</w:t>
      </w:r>
      <w:proofErr w:type="gramEnd"/>
    </w:p>
    <w:p w14:paraId="3565C697" w14:textId="77777777" w:rsidR="008B0EF8" w:rsidRDefault="008B0EF8" w:rsidP="004D4616">
      <w:pPr>
        <w:pStyle w:val="Heading2"/>
        <w:rPr>
          <w:rFonts w:eastAsiaTheme="minorHAnsi"/>
        </w:rPr>
      </w:pPr>
    </w:p>
    <w:p w14:paraId="335E8A65" w14:textId="003CBE86" w:rsidR="00E52A77" w:rsidRDefault="00E52A77" w:rsidP="004D4616">
      <w:pPr>
        <w:pStyle w:val="Heading2"/>
        <w:rPr>
          <w:rFonts w:eastAsiaTheme="minorHAnsi"/>
        </w:rPr>
      </w:pPr>
      <w:r>
        <w:rPr>
          <w:rFonts w:eastAsiaTheme="minorHAnsi"/>
        </w:rPr>
        <w:t>Practitioners</w:t>
      </w:r>
    </w:p>
    <w:p w14:paraId="3F8A408D" w14:textId="4EAFF0E6" w:rsidR="00A84407" w:rsidRDefault="00A84407" w:rsidP="004D4616">
      <w:pPr>
        <w:rPr>
          <w:lang w:val="en-AU"/>
        </w:rPr>
      </w:pPr>
      <w:r>
        <w:rPr>
          <w:lang w:val="en-AU"/>
        </w:rPr>
        <w:t xml:space="preserve">Safety and compliance </w:t>
      </w:r>
      <w:proofErr w:type="gramStart"/>
      <w:r>
        <w:rPr>
          <w:lang w:val="en-AU"/>
        </w:rPr>
        <w:t>starts</w:t>
      </w:r>
      <w:proofErr w:type="gramEnd"/>
      <w:r>
        <w:rPr>
          <w:lang w:val="en-AU"/>
        </w:rPr>
        <w:t xml:space="preserve"> with building and plumbing practitioners. They are accountable for ensuring the work they do is safe, is of a high standard and complies with the </w:t>
      </w:r>
      <w:r>
        <w:rPr>
          <w:rFonts w:ascii="VIC-LightItalic" w:hAnsi="VIC-LightItalic" w:cs="VIC-LightItalic"/>
          <w:i/>
          <w:iCs/>
          <w:lang w:val="en-AU"/>
        </w:rPr>
        <w:t>Building Act 1993</w:t>
      </w:r>
      <w:r>
        <w:rPr>
          <w:lang w:val="en-AU"/>
        </w:rPr>
        <w:t xml:space="preserve"> (the Act), associated regulations and guidelines.</w:t>
      </w:r>
    </w:p>
    <w:p w14:paraId="40A26EF6" w14:textId="77777777" w:rsidR="00A84407" w:rsidRDefault="00A84407" w:rsidP="004D4616">
      <w:pPr>
        <w:rPr>
          <w:lang w:val="en-AU"/>
        </w:rPr>
      </w:pPr>
    </w:p>
    <w:p w14:paraId="163B984D" w14:textId="1DFFF187" w:rsidR="00A84407" w:rsidRDefault="00A84407" w:rsidP="004D4616">
      <w:pPr>
        <w:rPr>
          <w:lang w:val="en-AU"/>
        </w:rPr>
      </w:pPr>
      <w:r>
        <w:rPr>
          <w:lang w:val="en-AU"/>
        </w:rPr>
        <w:t>Australia has a National Construction Code (NCC) that sets out in detail the requirements for the construction of buildings, including plumbing and drainage. There are also specific Victorian regulatory obligations which must be met.</w:t>
      </w:r>
    </w:p>
    <w:p w14:paraId="2F8AFE1B" w14:textId="77777777" w:rsidR="00A84407" w:rsidRDefault="00A84407" w:rsidP="004D4616">
      <w:pPr>
        <w:rPr>
          <w:lang w:val="en-AU"/>
        </w:rPr>
      </w:pPr>
    </w:p>
    <w:p w14:paraId="68C8A544" w14:textId="6261F9D7" w:rsidR="00A84407" w:rsidRDefault="00A84407" w:rsidP="004D4616">
      <w:pPr>
        <w:rPr>
          <w:lang w:val="en-AU"/>
        </w:rPr>
      </w:pPr>
      <w:r>
        <w:rPr>
          <w:lang w:val="en-AU"/>
        </w:rPr>
        <w:t>We expect that building and plumbing practitioners will:</w:t>
      </w:r>
    </w:p>
    <w:p w14:paraId="21AC28B7" w14:textId="77777777" w:rsidR="00A84407" w:rsidRPr="004D4616" w:rsidRDefault="00A84407" w:rsidP="004D4616">
      <w:pPr>
        <w:pStyle w:val="ListParagraph"/>
        <w:numPr>
          <w:ilvl w:val="0"/>
          <w:numId w:val="30"/>
        </w:numPr>
        <w:rPr>
          <w:lang w:val="en-AU"/>
        </w:rPr>
      </w:pPr>
      <w:r w:rsidRPr="004D4616">
        <w:rPr>
          <w:lang w:val="en-AU"/>
        </w:rPr>
        <w:t xml:space="preserve">keep </w:t>
      </w:r>
      <w:proofErr w:type="gramStart"/>
      <w:r w:rsidRPr="004D4616">
        <w:rPr>
          <w:lang w:val="en-AU"/>
        </w:rPr>
        <w:t>up-to-date</w:t>
      </w:r>
      <w:proofErr w:type="gramEnd"/>
      <w:r w:rsidRPr="004D4616">
        <w:rPr>
          <w:lang w:val="en-AU"/>
        </w:rPr>
        <w:t xml:space="preserve"> with all relevant regulations, codes and standards</w:t>
      </w:r>
    </w:p>
    <w:p w14:paraId="0CAB3278" w14:textId="77777777" w:rsidR="00A84407" w:rsidRPr="004D4616" w:rsidRDefault="00A84407" w:rsidP="004D4616">
      <w:pPr>
        <w:pStyle w:val="ListParagraph"/>
        <w:numPr>
          <w:ilvl w:val="0"/>
          <w:numId w:val="30"/>
        </w:numPr>
        <w:rPr>
          <w:lang w:val="en-AU"/>
        </w:rPr>
      </w:pPr>
      <w:r w:rsidRPr="004D4616">
        <w:rPr>
          <w:lang w:val="en-AU"/>
        </w:rPr>
        <w:t xml:space="preserve">have the technical knowledge, </w:t>
      </w:r>
      <w:proofErr w:type="gramStart"/>
      <w:r w:rsidRPr="004D4616">
        <w:rPr>
          <w:lang w:val="en-AU"/>
        </w:rPr>
        <w:t>capacity</w:t>
      </w:r>
      <w:proofErr w:type="gramEnd"/>
      <w:r w:rsidRPr="004D4616">
        <w:rPr>
          <w:lang w:val="en-AU"/>
        </w:rPr>
        <w:t xml:space="preserve"> and ability to meet regulations, codes and standards, and</w:t>
      </w:r>
    </w:p>
    <w:p w14:paraId="4CB6EE7D" w14:textId="52EF25CA" w:rsidR="00A84407" w:rsidRPr="004D4616" w:rsidRDefault="00A84407" w:rsidP="004D4616">
      <w:pPr>
        <w:pStyle w:val="ListParagraph"/>
        <w:numPr>
          <w:ilvl w:val="0"/>
          <w:numId w:val="30"/>
        </w:numPr>
        <w:rPr>
          <w:lang w:val="en-AU"/>
        </w:rPr>
      </w:pPr>
      <w:r w:rsidRPr="004D4616">
        <w:rPr>
          <w:lang w:val="en-AU"/>
        </w:rPr>
        <w:t>work with honesty and integrity to produce a built environment that is safe to live and work in and of lasting quality.</w:t>
      </w:r>
    </w:p>
    <w:p w14:paraId="2A098E60" w14:textId="77777777" w:rsidR="00A84407" w:rsidRDefault="00A84407" w:rsidP="004D4616">
      <w:pPr>
        <w:rPr>
          <w:lang w:val="en-AU"/>
        </w:rPr>
      </w:pPr>
    </w:p>
    <w:p w14:paraId="1AFC8922" w14:textId="00AD43C2" w:rsidR="00A84407" w:rsidRPr="00A84407" w:rsidRDefault="00A84407" w:rsidP="004D4616">
      <w:pPr>
        <w:rPr>
          <w:lang w:val="en-AU"/>
        </w:rPr>
      </w:pPr>
      <w:r>
        <w:rPr>
          <w:lang w:val="en-AU"/>
        </w:rPr>
        <w:t>A depiction of how practitioners are regulated is set out on page 14.</w:t>
      </w:r>
    </w:p>
    <w:p w14:paraId="47F49BAB" w14:textId="77777777" w:rsidR="00E52A77" w:rsidRDefault="00E52A77" w:rsidP="00E52A77">
      <w:pPr>
        <w:widowControl/>
        <w:adjustRightInd w:val="0"/>
        <w:rPr>
          <w:rFonts w:ascii="VIC-Light" w:eastAsiaTheme="minorHAnsi" w:hAnsi="VIC-Light" w:cs="VIC-Light"/>
          <w:color w:val="000000"/>
          <w:sz w:val="21"/>
          <w:szCs w:val="21"/>
          <w:lang w:val="en-AU"/>
        </w:rPr>
      </w:pPr>
    </w:p>
    <w:p w14:paraId="0244BD24" w14:textId="77777777" w:rsidR="00E52A77" w:rsidRDefault="00E52A77" w:rsidP="004D4616">
      <w:pPr>
        <w:pStyle w:val="Heading2"/>
        <w:rPr>
          <w:rFonts w:eastAsiaTheme="minorHAnsi"/>
        </w:rPr>
      </w:pPr>
      <w:r>
        <w:rPr>
          <w:rFonts w:eastAsiaTheme="minorHAnsi"/>
        </w:rPr>
        <w:t>Rogue practitioners</w:t>
      </w:r>
    </w:p>
    <w:p w14:paraId="6A3C1DFE" w14:textId="6AB440E5" w:rsidR="001A5DA6" w:rsidRDefault="001A5DA6" w:rsidP="004D4616">
      <w:pPr>
        <w:rPr>
          <w:lang w:val="en-AU"/>
        </w:rPr>
      </w:pPr>
      <w:r>
        <w:rPr>
          <w:lang w:val="en-AU"/>
        </w:rPr>
        <w:t>Rogue practitioners (including unqualified practitioners) are those who intentionally or continually fail to comply with relevant legislation or standards, leading to unsafe or non-compliant outcomes for consumers.</w:t>
      </w:r>
    </w:p>
    <w:p w14:paraId="1C6BFD9E" w14:textId="77777777" w:rsidR="001A5DA6" w:rsidRDefault="001A5DA6" w:rsidP="004D4616">
      <w:pPr>
        <w:rPr>
          <w:lang w:val="en-AU"/>
        </w:rPr>
      </w:pPr>
    </w:p>
    <w:p w14:paraId="27B50489" w14:textId="499EB7AF" w:rsidR="001A5DA6" w:rsidRDefault="001A5DA6" w:rsidP="004D4616">
      <w:pPr>
        <w:rPr>
          <w:lang w:val="en-AU"/>
        </w:rPr>
      </w:pPr>
      <w:r>
        <w:rPr>
          <w:lang w:val="en-AU"/>
        </w:rPr>
        <w:t>Examples include unregistered and unlicensed practitioners, practitioners who continue to cut corners and those who fail to deliver safe and compliant outcomes for consumers.</w:t>
      </w:r>
    </w:p>
    <w:p w14:paraId="4BB92912" w14:textId="77777777" w:rsidR="001A5DA6" w:rsidRDefault="001A5DA6" w:rsidP="004D4616">
      <w:pPr>
        <w:rPr>
          <w:lang w:val="en-AU"/>
        </w:rPr>
      </w:pPr>
    </w:p>
    <w:p w14:paraId="1455B1FE" w14:textId="7FFE0793" w:rsidR="001A5DA6" w:rsidRDefault="001A5DA6" w:rsidP="004D4616">
      <w:pPr>
        <w:rPr>
          <w:lang w:val="en-AU"/>
        </w:rPr>
      </w:pPr>
      <w:r>
        <w:rPr>
          <w:lang w:val="en-AU"/>
        </w:rPr>
        <w:t>The Authority has no tolerance for rogue practitioners.</w:t>
      </w:r>
    </w:p>
    <w:p w14:paraId="50DA57E7" w14:textId="77777777" w:rsidR="001A5DA6" w:rsidRDefault="001A5DA6" w:rsidP="00E52A77">
      <w:pPr>
        <w:widowControl/>
        <w:adjustRightInd w:val="0"/>
        <w:rPr>
          <w:rFonts w:ascii="VIC-Light" w:eastAsiaTheme="minorHAnsi" w:hAnsi="VIC-Light" w:cs="VIC-Light"/>
          <w:sz w:val="21"/>
          <w:szCs w:val="21"/>
          <w:lang w:val="en-AU"/>
        </w:rPr>
      </w:pPr>
    </w:p>
    <w:p w14:paraId="2F85FDCF" w14:textId="77777777" w:rsidR="00E52A77" w:rsidRDefault="00E52A77" w:rsidP="004D4616">
      <w:pPr>
        <w:pStyle w:val="Heading2"/>
        <w:rPr>
          <w:rFonts w:eastAsiaTheme="minorHAnsi"/>
        </w:rPr>
      </w:pPr>
      <w:r>
        <w:rPr>
          <w:rFonts w:eastAsiaTheme="minorHAnsi"/>
        </w:rPr>
        <w:t>Building Surveyors</w:t>
      </w:r>
    </w:p>
    <w:p w14:paraId="44AFC95A" w14:textId="047A53C8" w:rsidR="001A5DA6" w:rsidRDefault="001A5DA6" w:rsidP="004D4616">
      <w:pPr>
        <w:rPr>
          <w:lang w:val="en-AU"/>
        </w:rPr>
      </w:pPr>
      <w:r>
        <w:rPr>
          <w:lang w:val="en-AU"/>
        </w:rPr>
        <w:t xml:space="preserve">For any building work that requires a building permit, the consumer is required to choose and appoint a building surveyor. The Relevant Building Surveyor has a key regulatory role to monitor building practitioners to ensure the work they do meets all regulations, </w:t>
      </w:r>
      <w:proofErr w:type="gramStart"/>
      <w:r>
        <w:rPr>
          <w:lang w:val="en-AU"/>
        </w:rPr>
        <w:t>codes</w:t>
      </w:r>
      <w:proofErr w:type="gramEnd"/>
      <w:r>
        <w:rPr>
          <w:lang w:val="en-AU"/>
        </w:rPr>
        <w:t xml:space="preserve"> and standards. This occurs through inspections at mandatory stages.</w:t>
      </w:r>
    </w:p>
    <w:p w14:paraId="0D99760B" w14:textId="77777777" w:rsidR="001A5DA6" w:rsidRDefault="001A5DA6" w:rsidP="004D4616">
      <w:pPr>
        <w:rPr>
          <w:lang w:val="en-AU"/>
        </w:rPr>
      </w:pPr>
    </w:p>
    <w:p w14:paraId="3122E108" w14:textId="0C720F8C" w:rsidR="001A5DA6" w:rsidRDefault="001A5DA6" w:rsidP="004D4616">
      <w:pPr>
        <w:rPr>
          <w:lang w:val="en-AU"/>
        </w:rPr>
      </w:pPr>
      <w:r>
        <w:rPr>
          <w:lang w:val="en-AU"/>
        </w:rPr>
        <w:t>Fundamental to the effective operation of our regulatory system is the legislative power that gives the choice of Relevant Building Surveyor to the consumer. Given the critical role played by building surveyors, it is vital that consumers are confident they have chosen someone who is independent and well qualified.</w:t>
      </w:r>
    </w:p>
    <w:p w14:paraId="243795FB" w14:textId="77777777" w:rsidR="001A5DA6" w:rsidRDefault="001A5DA6" w:rsidP="004D4616">
      <w:pPr>
        <w:rPr>
          <w:lang w:val="en-AU"/>
        </w:rPr>
      </w:pPr>
    </w:p>
    <w:p w14:paraId="79EFEC31" w14:textId="1E76387B" w:rsidR="001A5DA6" w:rsidRDefault="001A5DA6" w:rsidP="004D4616">
      <w:pPr>
        <w:rPr>
          <w:lang w:val="en-AU"/>
        </w:rPr>
      </w:pPr>
      <w:r>
        <w:rPr>
          <w:lang w:val="en-AU"/>
        </w:rPr>
        <w:t>Building surveyors are expected to act in accordance with the Authority’s Code of Conduct for Building Surveyors at all times, with the Authority monitoring surveyors and their compliance with this Code. More information on building surveyors is available on the Authority’s website: vba.vic.gov.au/surveyors.</w:t>
      </w:r>
    </w:p>
    <w:p w14:paraId="5F295557" w14:textId="77777777" w:rsidR="004D4616" w:rsidRDefault="004D4616" w:rsidP="001A5DA6">
      <w:pPr>
        <w:widowControl/>
        <w:adjustRightInd w:val="0"/>
        <w:rPr>
          <w:rFonts w:ascii="VIC-Bold" w:eastAsiaTheme="minorHAnsi" w:hAnsi="VIC-Bold" w:cs="VIC-Bold"/>
          <w:b/>
          <w:bCs/>
          <w:color w:val="003963"/>
          <w:sz w:val="30"/>
          <w:szCs w:val="30"/>
          <w:lang w:val="en-AU"/>
        </w:rPr>
      </w:pPr>
    </w:p>
    <w:p w14:paraId="7434FB03" w14:textId="77777777" w:rsidR="004D4616" w:rsidRDefault="004D4616" w:rsidP="001A5DA6">
      <w:pPr>
        <w:widowControl/>
        <w:adjustRightInd w:val="0"/>
        <w:rPr>
          <w:rFonts w:ascii="VIC-Bold" w:eastAsiaTheme="minorHAnsi" w:hAnsi="VIC-Bold" w:cs="VIC-Bold"/>
          <w:b/>
          <w:bCs/>
          <w:color w:val="003963"/>
          <w:sz w:val="30"/>
          <w:szCs w:val="30"/>
          <w:lang w:val="en-AU"/>
        </w:rPr>
      </w:pPr>
    </w:p>
    <w:p w14:paraId="27CBB88E" w14:textId="38617E82" w:rsidR="004A442C" w:rsidRDefault="00E52A77" w:rsidP="004D4616">
      <w:pPr>
        <w:pStyle w:val="Heading2"/>
        <w:rPr>
          <w:rFonts w:eastAsiaTheme="minorHAnsi"/>
        </w:rPr>
      </w:pPr>
      <w:r>
        <w:rPr>
          <w:rFonts w:eastAsiaTheme="minorHAnsi"/>
        </w:rPr>
        <w:t>The types of practitioners the</w:t>
      </w:r>
      <w:r w:rsidR="004A442C">
        <w:rPr>
          <w:rFonts w:eastAsiaTheme="minorHAnsi"/>
        </w:rPr>
        <w:t xml:space="preserve"> </w:t>
      </w:r>
      <w:r>
        <w:rPr>
          <w:rFonts w:eastAsiaTheme="minorHAnsi"/>
        </w:rPr>
        <w:t>Authority regulates include:</w:t>
      </w:r>
    </w:p>
    <w:p w14:paraId="5542B3AD" w14:textId="77777777" w:rsidR="001A5DA6" w:rsidRPr="004D4616" w:rsidRDefault="001A5DA6" w:rsidP="004D4616">
      <w:pPr>
        <w:pStyle w:val="ListParagraph"/>
        <w:numPr>
          <w:ilvl w:val="0"/>
          <w:numId w:val="31"/>
        </w:numPr>
        <w:rPr>
          <w:lang w:val="en-AU"/>
        </w:rPr>
      </w:pPr>
      <w:r w:rsidRPr="004D4616">
        <w:rPr>
          <w:lang w:val="en-AU"/>
        </w:rPr>
        <w:t>builders (commercial, domestic and demolisher)</w:t>
      </w:r>
    </w:p>
    <w:p w14:paraId="3F15DE1B" w14:textId="77777777" w:rsidR="001A5DA6" w:rsidRPr="004D4616" w:rsidRDefault="001A5DA6" w:rsidP="004D4616">
      <w:pPr>
        <w:pStyle w:val="ListParagraph"/>
        <w:numPr>
          <w:ilvl w:val="0"/>
          <w:numId w:val="31"/>
        </w:numPr>
        <w:rPr>
          <w:lang w:val="en-AU"/>
        </w:rPr>
      </w:pPr>
      <w:r w:rsidRPr="004D4616">
        <w:rPr>
          <w:lang w:val="en-AU"/>
        </w:rPr>
        <w:t>building surveyors, building inspectors and pool inspectors</w:t>
      </w:r>
    </w:p>
    <w:p w14:paraId="40BAE13A" w14:textId="77777777" w:rsidR="001A5DA6" w:rsidRPr="004D4616" w:rsidRDefault="001A5DA6" w:rsidP="004D4616">
      <w:pPr>
        <w:pStyle w:val="ListParagraph"/>
        <w:numPr>
          <w:ilvl w:val="0"/>
          <w:numId w:val="31"/>
        </w:numPr>
        <w:rPr>
          <w:lang w:val="en-AU"/>
        </w:rPr>
      </w:pPr>
      <w:r w:rsidRPr="004D4616">
        <w:rPr>
          <w:lang w:val="en-AU"/>
        </w:rPr>
        <w:t xml:space="preserve">plumbers (both licensed and registered) working in drainage, </w:t>
      </w:r>
      <w:proofErr w:type="spellStart"/>
      <w:r w:rsidRPr="004D4616">
        <w:rPr>
          <w:lang w:val="en-AU"/>
        </w:rPr>
        <w:t>gasfitting</w:t>
      </w:r>
      <w:proofErr w:type="spellEnd"/>
      <w:r w:rsidRPr="004D4616">
        <w:rPr>
          <w:lang w:val="en-AU"/>
        </w:rPr>
        <w:t xml:space="preserve">, mechanical services, roofing (stormwater), fire protection, </w:t>
      </w:r>
      <w:proofErr w:type="gramStart"/>
      <w:r w:rsidRPr="004D4616">
        <w:rPr>
          <w:lang w:val="en-AU"/>
        </w:rPr>
        <w:t>sanitation</w:t>
      </w:r>
      <w:proofErr w:type="gramEnd"/>
      <w:r w:rsidRPr="004D4616">
        <w:rPr>
          <w:lang w:val="en-AU"/>
        </w:rPr>
        <w:t xml:space="preserve"> and water, and</w:t>
      </w:r>
    </w:p>
    <w:p w14:paraId="06C1E61C" w14:textId="77777777" w:rsidR="00634634" w:rsidRDefault="001A5DA6" w:rsidP="004D4616">
      <w:pPr>
        <w:pStyle w:val="ListParagraph"/>
        <w:numPr>
          <w:ilvl w:val="0"/>
          <w:numId w:val="31"/>
        </w:numPr>
        <w:rPr>
          <w:lang w:val="en-AU"/>
        </w:rPr>
      </w:pPr>
      <w:r w:rsidRPr="004D4616">
        <w:rPr>
          <w:lang w:val="en-AU"/>
        </w:rPr>
        <w:t>draftspersons, project managers (domestic), erectors or supervisors (temporary structures), and quantity surveyors.</w:t>
      </w:r>
    </w:p>
    <w:p w14:paraId="5D8BFB50" w14:textId="77777777" w:rsidR="00634634" w:rsidRDefault="00634634" w:rsidP="00634634">
      <w:pPr>
        <w:rPr>
          <w:color w:val="000000"/>
          <w:lang w:val="en-AU"/>
        </w:rPr>
      </w:pPr>
    </w:p>
    <w:p w14:paraId="467ACA73" w14:textId="77777777" w:rsidR="00684CE7" w:rsidRDefault="00634634" w:rsidP="00684CE7">
      <w:pPr>
        <w:pStyle w:val="Heading2"/>
        <w:rPr>
          <w:rFonts w:eastAsiaTheme="minorHAnsi"/>
        </w:rPr>
      </w:pPr>
      <w:r>
        <w:rPr>
          <w:rFonts w:eastAsiaTheme="minorHAnsi"/>
        </w:rPr>
        <w:t>Consumers are required by legislation to appoint a Relevant Building Surveyor</w:t>
      </w:r>
      <w:r w:rsidR="00684CE7">
        <w:rPr>
          <w:rFonts w:eastAsiaTheme="minorHAnsi"/>
        </w:rPr>
        <w:t>.</w:t>
      </w:r>
    </w:p>
    <w:p w14:paraId="1DACB1BD" w14:textId="77777777" w:rsidR="00684CE7" w:rsidRDefault="00684CE7" w:rsidP="00684CE7">
      <w:pPr>
        <w:pStyle w:val="Heading2"/>
        <w:rPr>
          <w:rFonts w:eastAsiaTheme="minorHAnsi"/>
        </w:rPr>
      </w:pPr>
    </w:p>
    <w:p w14:paraId="2AC4DC02" w14:textId="6FB569E7" w:rsidR="004A442C" w:rsidRPr="00684CE7" w:rsidRDefault="004A442C" w:rsidP="00684CE7">
      <w:pPr>
        <w:pStyle w:val="Heading1"/>
        <w:rPr>
          <w:rFonts w:eastAsiaTheme="minorHAnsi"/>
        </w:rPr>
      </w:pPr>
      <w:r>
        <w:rPr>
          <w:rFonts w:eastAsiaTheme="minorHAnsi"/>
        </w:rPr>
        <w:t>Building Surveyor responsibilities:</w:t>
      </w:r>
    </w:p>
    <w:p w14:paraId="53925E69" w14:textId="77777777" w:rsidR="001A5DA6" w:rsidRDefault="001A5DA6" w:rsidP="004A442C">
      <w:pPr>
        <w:widowControl/>
        <w:adjustRightInd w:val="0"/>
        <w:rPr>
          <w:rFonts w:ascii="VIC-Bold" w:eastAsiaTheme="minorHAnsi" w:hAnsi="VIC-Bold" w:cs="VIC-Bold"/>
          <w:b/>
          <w:bCs/>
          <w:color w:val="005F84"/>
          <w:sz w:val="48"/>
          <w:szCs w:val="48"/>
          <w:lang w:val="en-AU"/>
        </w:rPr>
      </w:pPr>
    </w:p>
    <w:p w14:paraId="0617F547" w14:textId="0F45DEBB" w:rsidR="001A5DA6" w:rsidRDefault="001A5DA6" w:rsidP="004D4616">
      <w:pPr>
        <w:pStyle w:val="Heading3"/>
        <w:numPr>
          <w:ilvl w:val="0"/>
          <w:numId w:val="40"/>
        </w:numPr>
        <w:rPr>
          <w:rFonts w:eastAsiaTheme="minorHAnsi"/>
        </w:rPr>
      </w:pPr>
      <w:r>
        <w:rPr>
          <w:rFonts w:eastAsiaTheme="minorHAnsi"/>
        </w:rPr>
        <w:t>Assessing proposed building works for compliance with the Act, the Building Regulations and the NCC</w:t>
      </w:r>
    </w:p>
    <w:p w14:paraId="3AFC3B59" w14:textId="77777777" w:rsidR="001A5DA6" w:rsidRDefault="001A5DA6" w:rsidP="004D4616">
      <w:pPr>
        <w:pStyle w:val="Heading3"/>
        <w:rPr>
          <w:rFonts w:eastAsiaTheme="minorHAnsi"/>
        </w:rPr>
      </w:pPr>
    </w:p>
    <w:p w14:paraId="6436224F" w14:textId="6EE955BD" w:rsidR="001A5DA6" w:rsidRDefault="001A5DA6" w:rsidP="004D4616">
      <w:pPr>
        <w:pStyle w:val="Heading3"/>
        <w:numPr>
          <w:ilvl w:val="0"/>
          <w:numId w:val="40"/>
        </w:numPr>
        <w:rPr>
          <w:rFonts w:eastAsiaTheme="minorHAnsi"/>
        </w:rPr>
      </w:pPr>
      <w:r>
        <w:rPr>
          <w:rFonts w:eastAsiaTheme="minorHAnsi"/>
        </w:rPr>
        <w:t xml:space="preserve">Issuing building permits, once they are satisfied that proposed works are </w:t>
      </w:r>
      <w:proofErr w:type="gramStart"/>
      <w:r>
        <w:rPr>
          <w:rFonts w:eastAsiaTheme="minorHAnsi"/>
        </w:rPr>
        <w:t>compliant</w:t>
      </w:r>
      <w:proofErr w:type="gramEnd"/>
    </w:p>
    <w:p w14:paraId="5AD68A8F" w14:textId="77777777" w:rsidR="001A5DA6" w:rsidRDefault="001A5DA6" w:rsidP="004D4616">
      <w:pPr>
        <w:pStyle w:val="Heading3"/>
        <w:rPr>
          <w:rFonts w:eastAsiaTheme="minorHAnsi"/>
        </w:rPr>
      </w:pPr>
    </w:p>
    <w:p w14:paraId="389FE603" w14:textId="717E16C6" w:rsidR="001A5DA6" w:rsidRDefault="001A5DA6" w:rsidP="004D4616">
      <w:pPr>
        <w:pStyle w:val="Heading3"/>
        <w:numPr>
          <w:ilvl w:val="0"/>
          <w:numId w:val="40"/>
        </w:numPr>
        <w:rPr>
          <w:rFonts w:eastAsiaTheme="minorHAnsi"/>
        </w:rPr>
      </w:pPr>
      <w:r>
        <w:rPr>
          <w:rFonts w:eastAsiaTheme="minorHAnsi"/>
        </w:rPr>
        <w:t xml:space="preserve">Undertaking mandatory inspections as building work progresses to ensure compliance with construction </w:t>
      </w:r>
      <w:proofErr w:type="gramStart"/>
      <w:r>
        <w:rPr>
          <w:rFonts w:eastAsiaTheme="minorHAnsi"/>
        </w:rPr>
        <w:t>standards</w:t>
      </w:r>
      <w:proofErr w:type="gramEnd"/>
    </w:p>
    <w:p w14:paraId="6A2F9957" w14:textId="77777777" w:rsidR="001A5DA6" w:rsidRDefault="001A5DA6" w:rsidP="004D4616">
      <w:pPr>
        <w:pStyle w:val="Heading3"/>
        <w:rPr>
          <w:rFonts w:eastAsiaTheme="minorHAnsi"/>
        </w:rPr>
      </w:pPr>
    </w:p>
    <w:p w14:paraId="7B98D960" w14:textId="6426E425" w:rsidR="001A5DA6" w:rsidRPr="001A5DA6" w:rsidRDefault="001A5DA6" w:rsidP="004D4616">
      <w:pPr>
        <w:pStyle w:val="Heading3"/>
        <w:numPr>
          <w:ilvl w:val="0"/>
          <w:numId w:val="40"/>
        </w:numPr>
        <w:rPr>
          <w:rFonts w:eastAsiaTheme="minorHAnsi"/>
        </w:rPr>
      </w:pPr>
      <w:r>
        <w:rPr>
          <w:rFonts w:eastAsiaTheme="minorHAnsi"/>
        </w:rPr>
        <w:t xml:space="preserve">Determining that buildings are suitable to </w:t>
      </w:r>
      <w:proofErr w:type="gramStart"/>
      <w:r>
        <w:rPr>
          <w:rFonts w:eastAsiaTheme="minorHAnsi"/>
        </w:rPr>
        <w:t>occupy</w:t>
      </w:r>
      <w:proofErr w:type="gramEnd"/>
    </w:p>
    <w:p w14:paraId="417167A9" w14:textId="77777777" w:rsidR="00B25726" w:rsidRDefault="00B25726" w:rsidP="00B25726">
      <w:pPr>
        <w:widowControl/>
        <w:adjustRightInd w:val="0"/>
        <w:rPr>
          <w:rFonts w:ascii="VIC-SemiBold" w:eastAsiaTheme="minorHAnsi" w:hAnsi="VIC-SemiBold" w:cs="VIC-SemiBold"/>
          <w:b/>
          <w:bCs/>
          <w:sz w:val="26"/>
          <w:szCs w:val="26"/>
          <w:lang w:val="en-AU"/>
        </w:rPr>
      </w:pPr>
    </w:p>
    <w:p w14:paraId="151BF9F7" w14:textId="77777777" w:rsidR="00B25726" w:rsidRDefault="00B25726" w:rsidP="00B25726">
      <w:pPr>
        <w:widowControl/>
        <w:adjustRightInd w:val="0"/>
        <w:rPr>
          <w:rFonts w:ascii="VIC-SemiBold" w:eastAsiaTheme="minorHAnsi" w:hAnsi="VIC-SemiBold" w:cs="VIC-SemiBold"/>
          <w:b/>
          <w:bCs/>
          <w:sz w:val="26"/>
          <w:szCs w:val="26"/>
          <w:lang w:val="en-AU"/>
        </w:rPr>
      </w:pPr>
    </w:p>
    <w:p w14:paraId="601C47C6" w14:textId="77777777" w:rsidR="00B25726" w:rsidRDefault="00B25726" w:rsidP="00B25726">
      <w:pPr>
        <w:widowControl/>
        <w:adjustRightInd w:val="0"/>
        <w:rPr>
          <w:rFonts w:ascii="VIC-SemiBold" w:eastAsiaTheme="minorHAnsi" w:hAnsi="VIC-SemiBold" w:cs="VIC-SemiBold"/>
          <w:b/>
          <w:bCs/>
          <w:sz w:val="26"/>
          <w:szCs w:val="26"/>
          <w:lang w:val="en-AU"/>
        </w:rPr>
      </w:pPr>
    </w:p>
    <w:p w14:paraId="1D5A74CE" w14:textId="77777777" w:rsidR="00B25726" w:rsidRDefault="00B25726" w:rsidP="00B25726">
      <w:pPr>
        <w:widowControl/>
        <w:adjustRightInd w:val="0"/>
        <w:rPr>
          <w:rFonts w:ascii="VIC-SemiBold" w:eastAsiaTheme="minorHAnsi" w:hAnsi="VIC-SemiBold" w:cs="VIC-SemiBold"/>
          <w:b/>
          <w:bCs/>
          <w:sz w:val="26"/>
          <w:szCs w:val="26"/>
          <w:lang w:val="en-AU"/>
        </w:rPr>
      </w:pPr>
    </w:p>
    <w:p w14:paraId="51CBE687" w14:textId="77777777" w:rsidR="00B25726" w:rsidRDefault="00B25726" w:rsidP="00B25726">
      <w:pPr>
        <w:widowControl/>
        <w:adjustRightInd w:val="0"/>
        <w:rPr>
          <w:rFonts w:ascii="VIC-SemiBold" w:eastAsiaTheme="minorHAnsi" w:hAnsi="VIC-SemiBold" w:cs="VIC-SemiBold"/>
          <w:b/>
          <w:bCs/>
          <w:sz w:val="26"/>
          <w:szCs w:val="26"/>
          <w:lang w:val="en-AU"/>
        </w:rPr>
      </w:pPr>
    </w:p>
    <w:p w14:paraId="63A0DD9F" w14:textId="77777777" w:rsidR="00B25726" w:rsidRDefault="00B25726" w:rsidP="00B25726">
      <w:pPr>
        <w:widowControl/>
        <w:adjustRightInd w:val="0"/>
        <w:jc w:val="center"/>
        <w:rPr>
          <w:rFonts w:ascii="VIC-Light" w:eastAsiaTheme="minorHAnsi" w:hAnsi="VIC-Light" w:cs="VIC-Light"/>
          <w:sz w:val="21"/>
          <w:szCs w:val="21"/>
          <w:lang w:val="en-AU"/>
        </w:rPr>
      </w:pPr>
    </w:p>
    <w:p w14:paraId="49BAB6AF" w14:textId="77777777" w:rsidR="00B25726" w:rsidRDefault="00B25726" w:rsidP="00B25726">
      <w:pPr>
        <w:widowControl/>
        <w:adjustRightInd w:val="0"/>
        <w:jc w:val="center"/>
        <w:rPr>
          <w:rFonts w:ascii="VIC-Light" w:eastAsiaTheme="minorHAnsi" w:hAnsi="VIC-Light" w:cs="VIC-Light"/>
          <w:sz w:val="21"/>
          <w:szCs w:val="21"/>
          <w:lang w:val="en-AU"/>
        </w:rPr>
      </w:pPr>
    </w:p>
    <w:p w14:paraId="37B40FAB" w14:textId="1B80C1DD" w:rsidR="00B25726" w:rsidRDefault="00B25726">
      <w:pPr>
        <w:widowControl/>
        <w:autoSpaceDE/>
        <w:autoSpaceDN/>
        <w:spacing w:after="160" w:line="259" w:lineRule="auto"/>
        <w:rPr>
          <w:rFonts w:ascii="VIC-SemiBold" w:eastAsiaTheme="minorHAnsi" w:hAnsi="VIC-SemiBold" w:cs="VIC-SemiBold"/>
          <w:b/>
          <w:bCs/>
          <w:sz w:val="26"/>
          <w:szCs w:val="26"/>
          <w:lang w:val="en-AU"/>
        </w:rPr>
      </w:pPr>
    </w:p>
    <w:p w14:paraId="24CA4501" w14:textId="542C4278" w:rsidR="004A442C" w:rsidRPr="004D4616" w:rsidRDefault="00B25726" w:rsidP="008B0EF8">
      <w:pPr>
        <w:pStyle w:val="Heading1"/>
        <w:rPr>
          <w:rFonts w:ascii="VIC-Bold" w:eastAsiaTheme="minorHAnsi" w:hAnsi="VIC-Bold" w:cs="VIC-Bold"/>
          <w:bCs/>
          <w:color w:val="003963"/>
          <w:sz w:val="110"/>
          <w:szCs w:val="110"/>
        </w:rPr>
      </w:pPr>
      <w:r>
        <w:rPr>
          <w:rFonts w:ascii="VIC-Bold" w:eastAsiaTheme="minorHAnsi" w:hAnsi="VIC-Bold" w:cs="VIC-Bold"/>
          <w:bCs/>
          <w:color w:val="003963"/>
          <w:sz w:val="110"/>
          <w:szCs w:val="110"/>
        </w:rPr>
        <w:br w:type="page"/>
      </w:r>
      <w:r w:rsidR="004A442C">
        <w:rPr>
          <w:rFonts w:eastAsiaTheme="minorHAnsi"/>
        </w:rPr>
        <w:lastRenderedPageBreak/>
        <w:t>The Authority’s</w:t>
      </w:r>
      <w:r w:rsidR="004D4616">
        <w:rPr>
          <w:rFonts w:eastAsiaTheme="minorHAnsi"/>
        </w:rPr>
        <w:t xml:space="preserve"> </w:t>
      </w:r>
      <w:r w:rsidR="004A442C">
        <w:rPr>
          <w:rFonts w:eastAsiaTheme="minorHAnsi"/>
        </w:rPr>
        <w:t>legislative powers</w:t>
      </w:r>
      <w:r w:rsidR="004D4616">
        <w:rPr>
          <w:rFonts w:eastAsiaTheme="minorHAnsi"/>
        </w:rPr>
        <w:t xml:space="preserve"> </w:t>
      </w:r>
      <w:r w:rsidR="004A442C">
        <w:rPr>
          <w:rFonts w:eastAsiaTheme="minorHAnsi"/>
        </w:rPr>
        <w:t>are directed</w:t>
      </w:r>
      <w:r w:rsidR="004D4616">
        <w:rPr>
          <w:rFonts w:eastAsiaTheme="minorHAnsi"/>
        </w:rPr>
        <w:t xml:space="preserve"> </w:t>
      </w:r>
      <w:r w:rsidR="004A442C">
        <w:rPr>
          <w:rFonts w:eastAsiaTheme="minorHAnsi"/>
        </w:rPr>
        <w:t>at building</w:t>
      </w:r>
      <w:r w:rsidR="004D4616">
        <w:rPr>
          <w:rFonts w:eastAsiaTheme="minorHAnsi"/>
        </w:rPr>
        <w:t xml:space="preserve"> </w:t>
      </w:r>
      <w:r w:rsidR="004A442C">
        <w:rPr>
          <w:rFonts w:eastAsiaTheme="minorHAnsi"/>
        </w:rPr>
        <w:t>and plumbing</w:t>
      </w:r>
      <w:r w:rsidR="004D4616">
        <w:rPr>
          <w:rFonts w:eastAsiaTheme="minorHAnsi"/>
        </w:rPr>
        <w:br/>
      </w:r>
      <w:r w:rsidR="004A442C">
        <w:rPr>
          <w:rFonts w:eastAsiaTheme="minorHAnsi"/>
        </w:rPr>
        <w:t>practitioners.</w:t>
      </w:r>
    </w:p>
    <w:p w14:paraId="695E79AE" w14:textId="77777777" w:rsidR="004A442C" w:rsidRDefault="004A442C" w:rsidP="004A442C">
      <w:pPr>
        <w:widowControl/>
        <w:adjustRightInd w:val="0"/>
        <w:rPr>
          <w:rFonts w:ascii="VIC-Bold" w:eastAsiaTheme="minorHAnsi" w:hAnsi="VIC-Bold" w:cs="VIC-Bold"/>
          <w:b/>
          <w:bCs/>
          <w:color w:val="003963"/>
          <w:sz w:val="110"/>
          <w:szCs w:val="110"/>
          <w:lang w:val="en-AU"/>
        </w:rPr>
      </w:pPr>
    </w:p>
    <w:p w14:paraId="03AE9E32" w14:textId="2D131BB4" w:rsidR="004A442C" w:rsidRDefault="004A442C" w:rsidP="004D4616">
      <w:pPr>
        <w:pStyle w:val="Heading2"/>
        <w:rPr>
          <w:rFonts w:eastAsiaTheme="minorHAnsi"/>
        </w:rPr>
      </w:pPr>
      <w:r>
        <w:rPr>
          <w:rFonts w:eastAsiaTheme="minorHAnsi"/>
        </w:rPr>
        <w:t xml:space="preserve">The Authority uses </w:t>
      </w:r>
      <w:proofErr w:type="gramStart"/>
      <w:r>
        <w:rPr>
          <w:rFonts w:eastAsiaTheme="minorHAnsi"/>
        </w:rPr>
        <w:t>all of</w:t>
      </w:r>
      <w:proofErr w:type="gramEnd"/>
      <w:r>
        <w:rPr>
          <w:rFonts w:eastAsiaTheme="minorHAnsi"/>
        </w:rPr>
        <w:t xml:space="preserve"> its regulatory powers and tools</w:t>
      </w:r>
      <w:r w:rsidR="001A5DA6">
        <w:rPr>
          <w:rFonts w:eastAsiaTheme="minorHAnsi"/>
        </w:rPr>
        <w:t xml:space="preserve"> </w:t>
      </w:r>
      <w:r>
        <w:rPr>
          <w:rFonts w:eastAsiaTheme="minorHAnsi"/>
        </w:rPr>
        <w:t>to support safe and compliant consumer outcomes.</w:t>
      </w:r>
    </w:p>
    <w:p w14:paraId="6F51D0B9" w14:textId="77777777" w:rsidR="004A442C" w:rsidRDefault="004A442C" w:rsidP="004D4616">
      <w:pPr>
        <w:pStyle w:val="Heading2"/>
        <w:rPr>
          <w:rFonts w:eastAsiaTheme="minorHAnsi"/>
        </w:rPr>
      </w:pPr>
      <w:r>
        <w:rPr>
          <w:rFonts w:eastAsiaTheme="minorHAnsi"/>
        </w:rPr>
        <w:br w:type="page"/>
      </w:r>
    </w:p>
    <w:p w14:paraId="4C88C093"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74A71A51"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084BA558"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43A07D40"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1C5FF786"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420B3167"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55E45FBB"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781E7A1D"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56A047C6" w14:textId="77777777" w:rsidR="00B25726" w:rsidRDefault="00B25726" w:rsidP="00B25726">
      <w:pPr>
        <w:widowControl/>
        <w:adjustRightInd w:val="0"/>
        <w:rPr>
          <w:rFonts w:ascii="VIC-SemiBold" w:eastAsiaTheme="minorHAnsi" w:hAnsi="VIC-SemiBold" w:cs="VIC-SemiBold"/>
          <w:b/>
          <w:bCs/>
          <w:color w:val="0099FF"/>
          <w:sz w:val="36"/>
          <w:szCs w:val="36"/>
          <w:lang w:val="en-AU"/>
        </w:rPr>
      </w:pPr>
    </w:p>
    <w:p w14:paraId="6725D23F" w14:textId="77777777" w:rsidR="00B25726" w:rsidRDefault="00B25726">
      <w:pPr>
        <w:widowControl/>
        <w:autoSpaceDE/>
        <w:autoSpaceDN/>
        <w:spacing w:after="160" w:line="259" w:lineRule="auto"/>
        <w:rPr>
          <w:rFonts w:ascii="VIC-Light" w:eastAsiaTheme="minorHAnsi" w:hAnsi="VIC-Light" w:cs="VIC-Light"/>
          <w:sz w:val="21"/>
          <w:szCs w:val="21"/>
          <w:lang w:val="en-AU"/>
        </w:rPr>
      </w:pPr>
      <w:r>
        <w:rPr>
          <w:rFonts w:ascii="VIC-Light" w:eastAsiaTheme="minorHAnsi" w:hAnsi="VIC-Light" w:cs="VIC-Light"/>
          <w:sz w:val="21"/>
          <w:szCs w:val="21"/>
          <w:lang w:val="en-AU"/>
        </w:rPr>
        <w:br w:type="page"/>
      </w:r>
    </w:p>
    <w:p w14:paraId="007AE64B" w14:textId="3C4CBE1A" w:rsidR="004A442C" w:rsidRPr="00B25726" w:rsidRDefault="004A442C" w:rsidP="004D4616">
      <w:pPr>
        <w:pStyle w:val="Heading1"/>
        <w:rPr>
          <w:rFonts w:ascii="VIC-Light" w:eastAsiaTheme="minorHAnsi" w:hAnsi="VIC-Light" w:cs="VIC-Light"/>
          <w:sz w:val="21"/>
          <w:szCs w:val="21"/>
        </w:rPr>
      </w:pPr>
      <w:r>
        <w:rPr>
          <w:rFonts w:eastAsiaTheme="minorHAnsi"/>
        </w:rPr>
        <w:lastRenderedPageBreak/>
        <w:t>Regulating Practitioners</w:t>
      </w:r>
    </w:p>
    <w:p w14:paraId="10F48321" w14:textId="511A9E08" w:rsidR="004A442C" w:rsidRDefault="004A442C" w:rsidP="004D4616">
      <w:pPr>
        <w:pStyle w:val="Heading2"/>
        <w:rPr>
          <w:rFonts w:eastAsiaTheme="minorHAnsi"/>
        </w:rPr>
      </w:pPr>
      <w:r>
        <w:rPr>
          <w:rFonts w:eastAsiaTheme="minorHAnsi"/>
        </w:rPr>
        <w:t>Performance and delivery of work</w:t>
      </w:r>
    </w:p>
    <w:p w14:paraId="51AE80D9" w14:textId="77777777" w:rsidR="004A442C" w:rsidRDefault="004A442C" w:rsidP="004D4616">
      <w:pPr>
        <w:pStyle w:val="Heading3"/>
        <w:rPr>
          <w:rFonts w:eastAsiaTheme="minorHAnsi"/>
        </w:rPr>
      </w:pPr>
      <w:r>
        <w:rPr>
          <w:rFonts w:eastAsiaTheme="minorHAnsi"/>
        </w:rPr>
        <w:t>Practitioners</w:t>
      </w:r>
    </w:p>
    <w:p w14:paraId="7CA8789D" w14:textId="77777777" w:rsidR="003C3808" w:rsidRPr="004D4616" w:rsidRDefault="003C3808" w:rsidP="004D4616">
      <w:pPr>
        <w:pStyle w:val="ListParagraph"/>
        <w:numPr>
          <w:ilvl w:val="0"/>
          <w:numId w:val="32"/>
        </w:numPr>
        <w:rPr>
          <w:lang w:val="en-AU"/>
        </w:rPr>
      </w:pPr>
      <w:r w:rsidRPr="004D4616">
        <w:rPr>
          <w:lang w:val="en-AU"/>
        </w:rPr>
        <w:t>Practitioners are responsible for delivering safe and compliant work that is of a high standard and complies with the Act, associated regulations and guidelines.</w:t>
      </w:r>
    </w:p>
    <w:p w14:paraId="383B2172" w14:textId="77777777" w:rsidR="003C3808" w:rsidRPr="004D4616" w:rsidRDefault="003C3808" w:rsidP="004D4616">
      <w:pPr>
        <w:pStyle w:val="ListParagraph"/>
        <w:numPr>
          <w:ilvl w:val="0"/>
          <w:numId w:val="32"/>
        </w:numPr>
        <w:rPr>
          <w:lang w:val="en-AU"/>
        </w:rPr>
      </w:pPr>
      <w:r w:rsidRPr="004D4616">
        <w:rPr>
          <w:lang w:val="en-AU"/>
        </w:rPr>
        <w:t xml:space="preserve">Practitioners are responsible for keeping </w:t>
      </w:r>
      <w:proofErr w:type="gramStart"/>
      <w:r w:rsidRPr="004D4616">
        <w:rPr>
          <w:lang w:val="en-AU"/>
        </w:rPr>
        <w:t>up-to-date</w:t>
      </w:r>
      <w:proofErr w:type="gramEnd"/>
      <w:r w:rsidRPr="004D4616">
        <w:rPr>
          <w:lang w:val="en-AU"/>
        </w:rPr>
        <w:t xml:space="preserve"> with regulations, codes and standards and maintaining their technical knowledge.</w:t>
      </w:r>
    </w:p>
    <w:p w14:paraId="0AAC9656" w14:textId="77777777" w:rsidR="003C3808" w:rsidRPr="004D4616" w:rsidRDefault="003C3808" w:rsidP="004D4616">
      <w:pPr>
        <w:pStyle w:val="ListParagraph"/>
        <w:numPr>
          <w:ilvl w:val="0"/>
          <w:numId w:val="32"/>
        </w:numPr>
        <w:rPr>
          <w:lang w:val="en-AU"/>
        </w:rPr>
      </w:pPr>
      <w:r w:rsidRPr="004D4616">
        <w:rPr>
          <w:lang w:val="en-AU"/>
        </w:rPr>
        <w:t>Practitioners are responsible for maintaining relevant and required insurance to protect consumers from financial loss.</w:t>
      </w:r>
    </w:p>
    <w:p w14:paraId="32D37B7A" w14:textId="67322B1B" w:rsidR="004A442C" w:rsidRPr="004D4616" w:rsidRDefault="003C3808" w:rsidP="004D4616">
      <w:pPr>
        <w:pStyle w:val="ListParagraph"/>
        <w:numPr>
          <w:ilvl w:val="0"/>
          <w:numId w:val="32"/>
        </w:numPr>
        <w:rPr>
          <w:lang w:val="en-AU"/>
        </w:rPr>
      </w:pPr>
      <w:r w:rsidRPr="004D4616">
        <w:rPr>
          <w:lang w:val="en-AU"/>
        </w:rPr>
        <w:t xml:space="preserve">Practitioners are expected to do the right thing, to ensure a safe and </w:t>
      </w:r>
      <w:proofErr w:type="gramStart"/>
      <w:r w:rsidRPr="004D4616">
        <w:rPr>
          <w:lang w:val="en-AU"/>
        </w:rPr>
        <w:t>quality built</w:t>
      </w:r>
      <w:proofErr w:type="gramEnd"/>
      <w:r w:rsidRPr="004D4616">
        <w:rPr>
          <w:lang w:val="en-AU"/>
        </w:rPr>
        <w:t xml:space="preserve"> environment.</w:t>
      </w:r>
    </w:p>
    <w:p w14:paraId="7D3D4623" w14:textId="77777777" w:rsidR="004D4616" w:rsidRDefault="004D4616" w:rsidP="004A442C">
      <w:pPr>
        <w:widowControl/>
        <w:adjustRightInd w:val="0"/>
        <w:rPr>
          <w:rFonts w:ascii="VIC-Bold" w:eastAsiaTheme="minorHAnsi" w:hAnsi="VIC-Bold" w:cs="VIC-Bold"/>
          <w:b/>
          <w:bCs/>
          <w:color w:val="005F84"/>
          <w:sz w:val="40"/>
          <w:szCs w:val="40"/>
          <w:lang w:val="en-AU"/>
        </w:rPr>
      </w:pPr>
    </w:p>
    <w:p w14:paraId="6354630C" w14:textId="1F222DA1" w:rsidR="004A442C" w:rsidRPr="004A442C" w:rsidRDefault="004A442C" w:rsidP="004D4616">
      <w:pPr>
        <w:pStyle w:val="Heading2"/>
        <w:rPr>
          <w:rFonts w:ascii="VIC-SemiBold" w:eastAsiaTheme="minorHAnsi" w:hAnsi="VIC-SemiBold" w:cs="VIC-SemiBold"/>
          <w:color w:val="0099FF"/>
          <w:sz w:val="36"/>
          <w:szCs w:val="36"/>
        </w:rPr>
      </w:pPr>
      <w:r>
        <w:rPr>
          <w:rFonts w:eastAsiaTheme="minorHAnsi"/>
        </w:rPr>
        <w:t>Oversight and approvals</w:t>
      </w:r>
    </w:p>
    <w:p w14:paraId="5D1AD105" w14:textId="77777777" w:rsidR="004A442C" w:rsidRDefault="004A442C" w:rsidP="004D4616">
      <w:pPr>
        <w:pStyle w:val="Heading3"/>
        <w:rPr>
          <w:rFonts w:eastAsiaTheme="minorHAnsi"/>
        </w:rPr>
      </w:pPr>
      <w:r>
        <w:rPr>
          <w:rFonts w:eastAsiaTheme="minorHAnsi"/>
        </w:rPr>
        <w:t>Building Surveyors</w:t>
      </w:r>
    </w:p>
    <w:p w14:paraId="434784BB" w14:textId="77777777" w:rsidR="003C3808" w:rsidRPr="004D4616" w:rsidRDefault="003C3808" w:rsidP="004D4616">
      <w:pPr>
        <w:pStyle w:val="ListParagraph"/>
        <w:numPr>
          <w:ilvl w:val="0"/>
          <w:numId w:val="33"/>
        </w:numPr>
        <w:rPr>
          <w:lang w:val="en-AU"/>
        </w:rPr>
      </w:pPr>
      <w:r w:rsidRPr="004D4616">
        <w:rPr>
          <w:lang w:val="en-AU"/>
        </w:rPr>
        <w:t>The Relevant Building Surveyor is responsible for issuing permits and inspecting building work (at mandatory inspection stages) to ensure compliance with the legislation and regulations including all relevant codes and standards, and that a building is safe to occupy.</w:t>
      </w:r>
    </w:p>
    <w:p w14:paraId="17FC01BC" w14:textId="77777777" w:rsidR="003C3808" w:rsidRPr="004D4616" w:rsidRDefault="003C3808" w:rsidP="004D4616">
      <w:pPr>
        <w:pStyle w:val="ListParagraph"/>
        <w:numPr>
          <w:ilvl w:val="0"/>
          <w:numId w:val="33"/>
        </w:numPr>
        <w:rPr>
          <w:lang w:val="en-AU"/>
        </w:rPr>
      </w:pPr>
      <w:r w:rsidRPr="004D4616">
        <w:rPr>
          <w:lang w:val="en-AU"/>
        </w:rPr>
        <w:t>They issue (or cancel) occupancy permits.</w:t>
      </w:r>
    </w:p>
    <w:p w14:paraId="1F973B8F" w14:textId="77777777" w:rsidR="003C3808" w:rsidRPr="004D4616" w:rsidRDefault="003C3808" w:rsidP="004D4616">
      <w:pPr>
        <w:pStyle w:val="ListParagraph"/>
        <w:numPr>
          <w:ilvl w:val="0"/>
          <w:numId w:val="33"/>
        </w:numPr>
        <w:rPr>
          <w:lang w:val="en-AU"/>
        </w:rPr>
      </w:pPr>
      <w:r w:rsidRPr="004D4616">
        <w:rPr>
          <w:lang w:val="en-AU"/>
        </w:rPr>
        <w:t>Municipal Building Surveyors inspect buildings for compliance and have powers to order non-compliant work to be fixed and issue emergency orders if there is an immediate threat to the health and safety of occupants or the community.</w:t>
      </w:r>
    </w:p>
    <w:p w14:paraId="3CC3DE24" w14:textId="5490B63E" w:rsidR="004D4616" w:rsidRPr="008B0EF8" w:rsidRDefault="003C3808" w:rsidP="008B0EF8">
      <w:pPr>
        <w:pStyle w:val="ListParagraph"/>
        <w:numPr>
          <w:ilvl w:val="0"/>
          <w:numId w:val="33"/>
        </w:numPr>
        <w:rPr>
          <w:lang w:val="en-AU"/>
        </w:rPr>
      </w:pPr>
      <w:r w:rsidRPr="004D4616">
        <w:rPr>
          <w:lang w:val="en-AU"/>
        </w:rPr>
        <w:t>The Relevant Building Surveyor relies on other experts (e.g., fire safety engineers, structural engineers, licensed plumbers) or their own judgement.</w:t>
      </w:r>
    </w:p>
    <w:p w14:paraId="73411AE2" w14:textId="708BC2FA" w:rsidR="004A442C" w:rsidRPr="003C3808" w:rsidRDefault="004A442C" w:rsidP="008B0EF8">
      <w:pPr>
        <w:pStyle w:val="Heading3"/>
        <w:rPr>
          <w:rFonts w:ascii="VIC-Light" w:eastAsiaTheme="minorHAnsi" w:hAnsi="VIC-Light" w:cs="VIC-Light"/>
          <w:sz w:val="21"/>
          <w:szCs w:val="21"/>
        </w:rPr>
      </w:pPr>
      <w:r w:rsidRPr="003C3808">
        <w:rPr>
          <w:rFonts w:eastAsiaTheme="minorHAnsi"/>
        </w:rPr>
        <w:t>Plumbers</w:t>
      </w:r>
    </w:p>
    <w:p w14:paraId="4B6D7732" w14:textId="77777777" w:rsidR="003C3808" w:rsidRPr="004D4616" w:rsidRDefault="003C3808" w:rsidP="004D4616">
      <w:pPr>
        <w:pStyle w:val="ListParagraph"/>
        <w:numPr>
          <w:ilvl w:val="0"/>
          <w:numId w:val="34"/>
        </w:numPr>
        <w:rPr>
          <w:lang w:val="en-AU"/>
        </w:rPr>
      </w:pPr>
      <w:r w:rsidRPr="004D4616">
        <w:rPr>
          <w:lang w:val="en-AU"/>
        </w:rPr>
        <w:t>Plumbers self-certify their work and issue a compliance certificate to the consumer.</w:t>
      </w:r>
    </w:p>
    <w:p w14:paraId="2C944A57" w14:textId="5E28AB00" w:rsidR="004A442C" w:rsidRDefault="003C3808" w:rsidP="004D4616">
      <w:pPr>
        <w:pStyle w:val="ListParagraph"/>
        <w:numPr>
          <w:ilvl w:val="0"/>
          <w:numId w:val="34"/>
        </w:numPr>
        <w:rPr>
          <w:lang w:val="en-AU"/>
        </w:rPr>
      </w:pPr>
      <w:r w:rsidRPr="004D4616">
        <w:rPr>
          <w:lang w:val="en-AU"/>
        </w:rPr>
        <w:t>For plumbing work that is part of a building project, the plumber provides compliance certificates to the builder and building surveyor.</w:t>
      </w:r>
    </w:p>
    <w:p w14:paraId="24496770" w14:textId="77777777" w:rsidR="004D4616" w:rsidRPr="004D4616" w:rsidRDefault="004D4616" w:rsidP="004D4616">
      <w:pPr>
        <w:pStyle w:val="ListParagraph"/>
        <w:rPr>
          <w:lang w:val="en-AU"/>
        </w:rPr>
      </w:pPr>
    </w:p>
    <w:p w14:paraId="1A81407B" w14:textId="7863ED52" w:rsidR="004A442C" w:rsidRDefault="004A442C" w:rsidP="004D4616">
      <w:pPr>
        <w:pStyle w:val="Heading2"/>
        <w:rPr>
          <w:rFonts w:eastAsiaTheme="minorHAnsi"/>
        </w:rPr>
      </w:pPr>
      <w:r>
        <w:rPr>
          <w:rFonts w:eastAsiaTheme="minorHAnsi"/>
        </w:rPr>
        <w:t>Monitoring the system</w:t>
      </w:r>
    </w:p>
    <w:p w14:paraId="228FC631" w14:textId="77777777" w:rsidR="004A442C" w:rsidRDefault="004A442C" w:rsidP="004D4616">
      <w:pPr>
        <w:pStyle w:val="Heading3"/>
        <w:rPr>
          <w:rFonts w:eastAsiaTheme="minorHAnsi"/>
        </w:rPr>
      </w:pPr>
      <w:r>
        <w:rPr>
          <w:rFonts w:eastAsiaTheme="minorHAnsi"/>
        </w:rPr>
        <w:t>Victorian Building Authority</w:t>
      </w:r>
    </w:p>
    <w:p w14:paraId="670361A7" w14:textId="77777777" w:rsidR="003C3808" w:rsidRPr="004D4616" w:rsidRDefault="003C3808" w:rsidP="004D4616">
      <w:pPr>
        <w:pStyle w:val="ListParagraph"/>
        <w:numPr>
          <w:ilvl w:val="0"/>
          <w:numId w:val="35"/>
        </w:numPr>
        <w:rPr>
          <w:lang w:val="en-AU"/>
        </w:rPr>
      </w:pPr>
      <w:r w:rsidRPr="004D4616">
        <w:rPr>
          <w:lang w:val="en-AU"/>
        </w:rPr>
        <w:t xml:space="preserve">Oversees compliance and enforcement and </w:t>
      </w:r>
      <w:proofErr w:type="gramStart"/>
      <w:r w:rsidRPr="004D4616">
        <w:rPr>
          <w:lang w:val="en-AU"/>
        </w:rPr>
        <w:t>takes action</w:t>
      </w:r>
      <w:proofErr w:type="gramEnd"/>
      <w:r w:rsidRPr="004D4616">
        <w:rPr>
          <w:lang w:val="en-AU"/>
        </w:rPr>
        <w:t xml:space="preserve"> against practitioners for non-compliance, including issuing Directions to Fix, rectification notices and taking disciplinary actions or prosecuting.</w:t>
      </w:r>
    </w:p>
    <w:p w14:paraId="71619201" w14:textId="77777777" w:rsidR="003C3808" w:rsidRPr="004D4616" w:rsidRDefault="003C3808" w:rsidP="004D4616">
      <w:pPr>
        <w:pStyle w:val="ListParagraph"/>
        <w:numPr>
          <w:ilvl w:val="0"/>
          <w:numId w:val="35"/>
        </w:numPr>
        <w:rPr>
          <w:lang w:val="en-AU"/>
        </w:rPr>
      </w:pPr>
      <w:r w:rsidRPr="004D4616">
        <w:rPr>
          <w:lang w:val="en-AU"/>
        </w:rPr>
        <w:t xml:space="preserve">Undertakes audits and inspections of building sites, plumbing </w:t>
      </w:r>
      <w:proofErr w:type="gramStart"/>
      <w:r w:rsidRPr="004D4616">
        <w:rPr>
          <w:lang w:val="en-AU"/>
        </w:rPr>
        <w:t>work</w:t>
      </w:r>
      <w:proofErr w:type="gramEnd"/>
      <w:r w:rsidRPr="004D4616">
        <w:rPr>
          <w:lang w:val="en-AU"/>
        </w:rPr>
        <w:t xml:space="preserve"> and the work of building surveyors.</w:t>
      </w:r>
    </w:p>
    <w:p w14:paraId="63F296F8" w14:textId="799EF172" w:rsidR="003C3808" w:rsidRPr="004D4616" w:rsidRDefault="003C3808" w:rsidP="004D4616">
      <w:pPr>
        <w:pStyle w:val="ListParagraph"/>
        <w:numPr>
          <w:ilvl w:val="0"/>
          <w:numId w:val="35"/>
        </w:numPr>
        <w:rPr>
          <w:lang w:val="en-AU"/>
        </w:rPr>
      </w:pPr>
      <w:r w:rsidRPr="004D4616">
        <w:rPr>
          <w:lang w:val="en-AU"/>
        </w:rPr>
        <w:t>Uses a harms-based approach to regulation to direct its resources to areas that pose the greatest risk to the health and safety of building occupants and consumers. More information about the Authority’s harms-based approach to regulation can be found on the Authority’s website.</w:t>
      </w:r>
    </w:p>
    <w:p w14:paraId="5A617003" w14:textId="06B9355C" w:rsidR="004A442C" w:rsidRDefault="004A442C" w:rsidP="00B25726">
      <w:pPr>
        <w:widowControl/>
        <w:adjustRightInd w:val="0"/>
        <w:rPr>
          <w:rFonts w:ascii="VIC-Light" w:eastAsiaTheme="minorHAnsi" w:hAnsi="VIC-Light" w:cs="VIC-Light"/>
          <w:sz w:val="21"/>
          <w:szCs w:val="21"/>
          <w:lang w:val="en-AU"/>
        </w:rPr>
      </w:pPr>
      <w:r>
        <w:rPr>
          <w:rFonts w:ascii="VIC-Light" w:eastAsiaTheme="minorHAnsi" w:hAnsi="VIC-Light" w:cs="VIC-Light"/>
          <w:color w:val="000000"/>
          <w:sz w:val="21"/>
          <w:szCs w:val="21"/>
          <w:lang w:val="en-AU"/>
        </w:rPr>
        <w:br w:type="page"/>
      </w:r>
    </w:p>
    <w:p w14:paraId="70F2D006" w14:textId="77777777" w:rsidR="00B25726" w:rsidRDefault="00B25726" w:rsidP="00B25726">
      <w:pPr>
        <w:widowControl/>
        <w:adjustRightInd w:val="0"/>
        <w:rPr>
          <w:rFonts w:ascii="VIC-Light" w:eastAsiaTheme="minorHAnsi" w:hAnsi="VIC-Light" w:cs="VIC-Light"/>
          <w:sz w:val="21"/>
          <w:szCs w:val="21"/>
          <w:lang w:val="en-AU"/>
        </w:rPr>
      </w:pPr>
    </w:p>
    <w:p w14:paraId="226FF4B1" w14:textId="77777777" w:rsidR="00B25726" w:rsidRDefault="00B25726" w:rsidP="00B25726">
      <w:pPr>
        <w:widowControl/>
        <w:adjustRightInd w:val="0"/>
        <w:rPr>
          <w:rFonts w:ascii="VIC-Light" w:eastAsiaTheme="minorHAnsi" w:hAnsi="VIC-Light" w:cs="VIC-Light"/>
          <w:sz w:val="21"/>
          <w:szCs w:val="21"/>
          <w:lang w:val="en-AU"/>
        </w:rPr>
      </w:pPr>
    </w:p>
    <w:p w14:paraId="0A6BF021" w14:textId="77777777" w:rsidR="00B25726" w:rsidRDefault="00B25726" w:rsidP="00B25726">
      <w:pPr>
        <w:widowControl/>
        <w:adjustRightInd w:val="0"/>
        <w:rPr>
          <w:rFonts w:ascii="VIC-Light" w:eastAsiaTheme="minorHAnsi" w:hAnsi="VIC-Light" w:cs="VIC-Light"/>
          <w:sz w:val="21"/>
          <w:szCs w:val="21"/>
          <w:lang w:val="en-AU"/>
        </w:rPr>
      </w:pPr>
    </w:p>
    <w:p w14:paraId="7E25E5B3" w14:textId="77777777" w:rsidR="00B25726" w:rsidRDefault="00B25726" w:rsidP="00B25726">
      <w:pPr>
        <w:widowControl/>
        <w:adjustRightInd w:val="0"/>
        <w:rPr>
          <w:rFonts w:ascii="VIC-Light" w:eastAsiaTheme="minorHAnsi" w:hAnsi="VIC-Light" w:cs="VIC-Light"/>
          <w:sz w:val="21"/>
          <w:szCs w:val="21"/>
          <w:lang w:val="en-AU"/>
        </w:rPr>
      </w:pPr>
    </w:p>
    <w:p w14:paraId="439FB285" w14:textId="77777777" w:rsidR="00B25726" w:rsidRDefault="00B25726" w:rsidP="00B25726">
      <w:pPr>
        <w:widowControl/>
        <w:adjustRightInd w:val="0"/>
        <w:rPr>
          <w:rFonts w:ascii="VIC-Light" w:eastAsiaTheme="minorHAnsi" w:hAnsi="VIC-Light" w:cs="VIC-Light"/>
          <w:sz w:val="21"/>
          <w:szCs w:val="21"/>
          <w:lang w:val="en-AU"/>
        </w:rPr>
      </w:pPr>
    </w:p>
    <w:p w14:paraId="22F93D5E" w14:textId="77777777" w:rsidR="00B25726" w:rsidRDefault="00B25726" w:rsidP="00B25726">
      <w:pPr>
        <w:widowControl/>
        <w:adjustRightInd w:val="0"/>
        <w:rPr>
          <w:rFonts w:ascii="VIC-Light" w:eastAsiaTheme="minorHAnsi" w:hAnsi="VIC-Light" w:cs="VIC-Light"/>
          <w:sz w:val="21"/>
          <w:szCs w:val="21"/>
          <w:lang w:val="en-AU"/>
        </w:rPr>
      </w:pPr>
    </w:p>
    <w:p w14:paraId="68A09399" w14:textId="77777777" w:rsidR="00B25726" w:rsidRDefault="00B25726" w:rsidP="00B25726">
      <w:pPr>
        <w:widowControl/>
        <w:adjustRightInd w:val="0"/>
        <w:rPr>
          <w:rFonts w:ascii="VIC-Light" w:eastAsiaTheme="minorHAnsi" w:hAnsi="VIC-Light" w:cs="VIC-Light"/>
          <w:sz w:val="21"/>
          <w:szCs w:val="21"/>
          <w:lang w:val="en-AU"/>
        </w:rPr>
      </w:pPr>
    </w:p>
    <w:p w14:paraId="272F4C2D" w14:textId="77777777" w:rsidR="00B25726" w:rsidRDefault="00B25726" w:rsidP="00B25726">
      <w:pPr>
        <w:widowControl/>
        <w:adjustRightInd w:val="0"/>
        <w:rPr>
          <w:rFonts w:ascii="VIC-Light" w:eastAsiaTheme="minorHAnsi" w:hAnsi="VIC-Light" w:cs="VIC-Light"/>
          <w:sz w:val="21"/>
          <w:szCs w:val="21"/>
          <w:lang w:val="en-AU"/>
        </w:rPr>
      </w:pPr>
    </w:p>
    <w:p w14:paraId="37AE6469" w14:textId="77777777" w:rsidR="00B25726" w:rsidRDefault="00B25726" w:rsidP="00B25726">
      <w:pPr>
        <w:widowControl/>
        <w:adjustRightInd w:val="0"/>
        <w:rPr>
          <w:rFonts w:ascii="VIC-Light" w:eastAsiaTheme="minorHAnsi" w:hAnsi="VIC-Light" w:cs="VIC-Light"/>
          <w:sz w:val="21"/>
          <w:szCs w:val="21"/>
          <w:lang w:val="en-AU"/>
        </w:rPr>
      </w:pPr>
    </w:p>
    <w:p w14:paraId="45E9406D" w14:textId="77777777" w:rsidR="00B25726" w:rsidRDefault="00B25726" w:rsidP="00B25726">
      <w:pPr>
        <w:widowControl/>
        <w:adjustRightInd w:val="0"/>
        <w:rPr>
          <w:rFonts w:ascii="VIC-Light" w:eastAsiaTheme="minorHAnsi" w:hAnsi="VIC-Light" w:cs="VIC-Light"/>
          <w:sz w:val="21"/>
          <w:szCs w:val="21"/>
          <w:lang w:val="en-AU"/>
        </w:rPr>
      </w:pPr>
    </w:p>
    <w:p w14:paraId="22E9A3CB" w14:textId="77777777" w:rsidR="00B25726" w:rsidRDefault="00B25726" w:rsidP="00B25726">
      <w:pPr>
        <w:widowControl/>
        <w:adjustRightInd w:val="0"/>
        <w:rPr>
          <w:rFonts w:ascii="VIC-Light" w:eastAsiaTheme="minorHAnsi" w:hAnsi="VIC-Light" w:cs="VIC-Light"/>
          <w:sz w:val="21"/>
          <w:szCs w:val="21"/>
          <w:lang w:val="en-AU"/>
        </w:rPr>
      </w:pPr>
    </w:p>
    <w:p w14:paraId="645B17CA" w14:textId="77777777" w:rsidR="00B25726" w:rsidRDefault="00B25726" w:rsidP="00B25726">
      <w:pPr>
        <w:widowControl/>
        <w:adjustRightInd w:val="0"/>
        <w:rPr>
          <w:rFonts w:ascii="VIC-Light" w:eastAsiaTheme="minorHAnsi" w:hAnsi="VIC-Light" w:cs="VIC-Light"/>
          <w:sz w:val="21"/>
          <w:szCs w:val="21"/>
          <w:lang w:val="en-AU"/>
        </w:rPr>
      </w:pPr>
    </w:p>
    <w:p w14:paraId="14D64966" w14:textId="77777777" w:rsidR="00B25726" w:rsidRDefault="00B25726" w:rsidP="00B25726">
      <w:pPr>
        <w:widowControl/>
        <w:adjustRightInd w:val="0"/>
        <w:jc w:val="center"/>
        <w:rPr>
          <w:rFonts w:ascii="VIC-Light" w:eastAsiaTheme="minorHAnsi" w:hAnsi="VIC-Light" w:cs="VIC-Light"/>
          <w:sz w:val="21"/>
          <w:szCs w:val="21"/>
          <w:lang w:val="en-AU"/>
        </w:rPr>
      </w:pPr>
    </w:p>
    <w:p w14:paraId="19B37683" w14:textId="77777777" w:rsidR="00B25726" w:rsidRDefault="00B25726" w:rsidP="00B25726">
      <w:pPr>
        <w:widowControl/>
        <w:adjustRightInd w:val="0"/>
        <w:jc w:val="center"/>
        <w:rPr>
          <w:rFonts w:ascii="VIC-Light" w:eastAsiaTheme="minorHAnsi" w:hAnsi="VIC-Light" w:cs="VIC-Light"/>
          <w:color w:val="000000"/>
          <w:sz w:val="21"/>
          <w:szCs w:val="21"/>
          <w:lang w:val="en-AU"/>
        </w:rPr>
      </w:pPr>
    </w:p>
    <w:p w14:paraId="6437916D" w14:textId="77777777" w:rsidR="00B25726" w:rsidRDefault="00B25726">
      <w:pPr>
        <w:widowControl/>
        <w:autoSpaceDE/>
        <w:autoSpaceDN/>
        <w:spacing w:after="160" w:line="259" w:lineRule="auto"/>
        <w:rPr>
          <w:rFonts w:ascii="VIC-Bold" w:eastAsiaTheme="minorHAnsi" w:hAnsi="VIC-Bold" w:cs="VIC-Bold"/>
          <w:b/>
          <w:bCs/>
          <w:color w:val="0099FF"/>
          <w:sz w:val="72"/>
          <w:szCs w:val="72"/>
          <w:lang w:val="en-AU"/>
        </w:rPr>
      </w:pPr>
      <w:r>
        <w:rPr>
          <w:rFonts w:ascii="VIC-Bold" w:eastAsiaTheme="minorHAnsi" w:hAnsi="VIC-Bold" w:cs="VIC-Bold"/>
          <w:b/>
          <w:bCs/>
          <w:color w:val="0099FF"/>
          <w:sz w:val="72"/>
          <w:szCs w:val="72"/>
          <w:lang w:val="en-AU"/>
        </w:rPr>
        <w:br w:type="page"/>
      </w:r>
    </w:p>
    <w:p w14:paraId="0C5C96F5" w14:textId="46A28791" w:rsidR="004A442C" w:rsidRDefault="004A442C" w:rsidP="004D4616">
      <w:pPr>
        <w:pStyle w:val="Heading1"/>
        <w:rPr>
          <w:rFonts w:eastAsiaTheme="minorHAnsi"/>
        </w:rPr>
      </w:pPr>
      <w:r>
        <w:rPr>
          <w:rFonts w:eastAsiaTheme="minorHAnsi"/>
        </w:rPr>
        <w:lastRenderedPageBreak/>
        <w:t>How we regulate</w:t>
      </w:r>
    </w:p>
    <w:p w14:paraId="680AFE43" w14:textId="77777777" w:rsidR="004A442C" w:rsidRDefault="004A442C" w:rsidP="004D4616">
      <w:pPr>
        <w:pStyle w:val="Heading2"/>
        <w:rPr>
          <w:rFonts w:eastAsiaTheme="minorHAnsi"/>
        </w:rPr>
      </w:pPr>
      <w:r>
        <w:rPr>
          <w:rFonts w:eastAsiaTheme="minorHAnsi"/>
        </w:rPr>
        <w:t>Prioritising our effort</w:t>
      </w:r>
    </w:p>
    <w:p w14:paraId="40A73503" w14:textId="10191F89" w:rsidR="003C3808" w:rsidRDefault="003C3808" w:rsidP="004D4616">
      <w:pPr>
        <w:rPr>
          <w:lang w:val="en-AU"/>
        </w:rPr>
      </w:pPr>
      <w:r>
        <w:rPr>
          <w:lang w:val="en-AU"/>
        </w:rPr>
        <w:t xml:space="preserve">The Authority directs its regulatory actions to where the potential harm to consumers </w:t>
      </w:r>
      <w:proofErr w:type="gramStart"/>
      <w:r>
        <w:rPr>
          <w:lang w:val="en-AU"/>
        </w:rPr>
        <w:t>is</w:t>
      </w:r>
      <w:proofErr w:type="gramEnd"/>
    </w:p>
    <w:p w14:paraId="25DF75DB" w14:textId="37E58D46" w:rsidR="003C3808" w:rsidRDefault="003C3808" w:rsidP="004D4616">
      <w:pPr>
        <w:rPr>
          <w:lang w:val="en-AU"/>
        </w:rPr>
      </w:pPr>
      <w:r>
        <w:rPr>
          <w:lang w:val="en-AU"/>
        </w:rPr>
        <w:t>greatest, and where our regulatory powers can have the most impact.</w:t>
      </w:r>
    </w:p>
    <w:p w14:paraId="74EB059D" w14:textId="77777777" w:rsidR="003C3808" w:rsidRDefault="003C3808" w:rsidP="004D4616">
      <w:pPr>
        <w:rPr>
          <w:lang w:val="en-AU"/>
        </w:rPr>
      </w:pPr>
    </w:p>
    <w:p w14:paraId="3E109646" w14:textId="32FCB9CC" w:rsidR="004A442C" w:rsidRPr="003C3808" w:rsidRDefault="003C3808" w:rsidP="004D4616">
      <w:pPr>
        <w:rPr>
          <w:lang w:val="en-AU"/>
        </w:rPr>
      </w:pPr>
      <w:r>
        <w:rPr>
          <w:lang w:val="en-AU"/>
        </w:rPr>
        <w:t>Examples include targeting specific practitioners, undertaking directed regulatory interventions on a specific harm and conducting research or educating industry on current or emerging areas of harm.</w:t>
      </w:r>
    </w:p>
    <w:p w14:paraId="0F5FC183" w14:textId="77777777" w:rsidR="003C3808" w:rsidRDefault="003C3808" w:rsidP="004A442C">
      <w:pPr>
        <w:widowControl/>
        <w:adjustRightInd w:val="0"/>
        <w:rPr>
          <w:rFonts w:ascii="VIC-Bold" w:eastAsiaTheme="minorHAnsi" w:hAnsi="VIC-Bold" w:cs="VIC-Bold"/>
          <w:b/>
          <w:bCs/>
          <w:color w:val="003963"/>
          <w:sz w:val="32"/>
          <w:szCs w:val="32"/>
          <w:lang w:val="en-AU"/>
        </w:rPr>
      </w:pPr>
    </w:p>
    <w:p w14:paraId="7F4FAE4F" w14:textId="24709DBA" w:rsidR="004A442C" w:rsidRDefault="004A442C" w:rsidP="004D4616">
      <w:pPr>
        <w:pStyle w:val="Heading2"/>
        <w:rPr>
          <w:rFonts w:eastAsiaTheme="minorHAnsi"/>
        </w:rPr>
      </w:pPr>
      <w:r>
        <w:rPr>
          <w:rFonts w:eastAsiaTheme="minorHAnsi"/>
        </w:rPr>
        <w:t xml:space="preserve">Our compliance </w:t>
      </w:r>
      <w:proofErr w:type="gramStart"/>
      <w:r>
        <w:rPr>
          <w:rFonts w:eastAsiaTheme="minorHAnsi"/>
        </w:rPr>
        <w:t>approach</w:t>
      </w:r>
      <w:proofErr w:type="gramEnd"/>
    </w:p>
    <w:p w14:paraId="3B9E1FE4" w14:textId="24F7636B" w:rsidR="003C3808" w:rsidRDefault="003C3808" w:rsidP="004D4616">
      <w:pPr>
        <w:rPr>
          <w:lang w:val="en-AU"/>
        </w:rPr>
      </w:pPr>
      <w:r>
        <w:rPr>
          <w:lang w:val="en-AU"/>
        </w:rPr>
        <w:t xml:space="preserve">Industry and the community expect a fair and proportionate approach to regulation that is tough on those who compromise the health and safety of consumers or building occupants via enforcement </w:t>
      </w:r>
      <w:proofErr w:type="gramStart"/>
      <w:r>
        <w:rPr>
          <w:lang w:val="en-AU"/>
        </w:rPr>
        <w:t>action, but</w:t>
      </w:r>
      <w:proofErr w:type="gramEnd"/>
      <w:r>
        <w:rPr>
          <w:lang w:val="en-AU"/>
        </w:rPr>
        <w:t xml:space="preserve"> reduces the regulatory burden on those doing the right thing. This is the essence of our ’harms-based approach’ to regulation.</w:t>
      </w:r>
    </w:p>
    <w:p w14:paraId="409DC54E" w14:textId="77777777" w:rsidR="003C3808" w:rsidRDefault="003C3808" w:rsidP="004D4616">
      <w:pPr>
        <w:rPr>
          <w:lang w:val="en-AU"/>
        </w:rPr>
      </w:pPr>
    </w:p>
    <w:p w14:paraId="257661B7" w14:textId="7056D440" w:rsidR="004A442C" w:rsidRDefault="003C3808" w:rsidP="004D4616">
      <w:pPr>
        <w:rPr>
          <w:lang w:val="en-AU"/>
        </w:rPr>
      </w:pPr>
      <w:r>
        <w:rPr>
          <w:lang w:val="en-AU"/>
        </w:rPr>
        <w:t>The Authority will use enforcement actions where there is a safety or non-compliance risk, or where a practitioner has a history of poor performance.</w:t>
      </w:r>
    </w:p>
    <w:p w14:paraId="45EC6B25" w14:textId="77777777" w:rsidR="003C3808" w:rsidRPr="003C3808" w:rsidRDefault="003C3808" w:rsidP="003C3808">
      <w:pPr>
        <w:widowControl/>
        <w:adjustRightInd w:val="0"/>
        <w:rPr>
          <w:rFonts w:ascii="VIC-Light" w:eastAsiaTheme="minorHAnsi" w:hAnsi="VIC-Light" w:cs="VIC-Light"/>
          <w:sz w:val="21"/>
          <w:szCs w:val="21"/>
          <w:lang w:val="en-AU"/>
        </w:rPr>
      </w:pPr>
    </w:p>
    <w:p w14:paraId="0749D75A" w14:textId="40B2C683" w:rsidR="004A442C" w:rsidRDefault="004A442C" w:rsidP="004D4616">
      <w:pPr>
        <w:pStyle w:val="Heading2"/>
        <w:rPr>
          <w:rFonts w:eastAsiaTheme="minorHAnsi"/>
        </w:rPr>
      </w:pPr>
      <w:r>
        <w:rPr>
          <w:rFonts w:eastAsiaTheme="minorHAnsi"/>
        </w:rPr>
        <w:t>Data and intelligence-led</w:t>
      </w:r>
    </w:p>
    <w:p w14:paraId="5ECF18FC" w14:textId="257D6BBB" w:rsidR="003C3808" w:rsidRDefault="003C3808" w:rsidP="004D4616">
      <w:pPr>
        <w:rPr>
          <w:lang w:val="en-AU"/>
        </w:rPr>
      </w:pPr>
      <w:r>
        <w:rPr>
          <w:lang w:val="en-AU"/>
        </w:rPr>
        <w:t xml:space="preserve">The Authority uses intelligence from a range of sources to help focus efforts. This includes internal data from audits and inspections, industry tip-offs, other </w:t>
      </w:r>
      <w:proofErr w:type="gramStart"/>
      <w:r>
        <w:rPr>
          <w:lang w:val="en-AU"/>
        </w:rPr>
        <w:t>agencies</w:t>
      </w:r>
      <w:proofErr w:type="gramEnd"/>
      <w:r>
        <w:rPr>
          <w:lang w:val="en-AU"/>
        </w:rPr>
        <w:t xml:space="preserve"> and consumer reports.</w:t>
      </w:r>
    </w:p>
    <w:p w14:paraId="6379476C" w14:textId="77777777" w:rsidR="003C3808" w:rsidRDefault="003C3808" w:rsidP="004D4616">
      <w:pPr>
        <w:rPr>
          <w:lang w:val="en-AU"/>
        </w:rPr>
      </w:pPr>
    </w:p>
    <w:p w14:paraId="146B533F" w14:textId="2C5A9ECC" w:rsidR="00A439AD" w:rsidRDefault="003C3808" w:rsidP="004D4616">
      <w:pPr>
        <w:rPr>
          <w:lang w:val="en-AU"/>
        </w:rPr>
      </w:pPr>
      <w:r>
        <w:rPr>
          <w:lang w:val="en-AU"/>
        </w:rPr>
        <w:t>We will also use a practitioner’s history to inform our regulatory focus and response to any non-compliance.</w:t>
      </w:r>
    </w:p>
    <w:p w14:paraId="07A528F4" w14:textId="77777777" w:rsidR="003C3808" w:rsidRPr="003C3808" w:rsidRDefault="003C3808" w:rsidP="003C3808">
      <w:pPr>
        <w:widowControl/>
        <w:adjustRightInd w:val="0"/>
        <w:rPr>
          <w:rFonts w:ascii="VIC-Light" w:eastAsiaTheme="minorHAnsi" w:hAnsi="VIC-Light" w:cs="VIC-Light"/>
          <w:sz w:val="21"/>
          <w:szCs w:val="21"/>
          <w:lang w:val="en-AU"/>
        </w:rPr>
      </w:pPr>
    </w:p>
    <w:p w14:paraId="34A969CA" w14:textId="77777777" w:rsidR="00A439AD" w:rsidRDefault="00A439AD" w:rsidP="004D4616">
      <w:pPr>
        <w:pStyle w:val="Heading2"/>
        <w:rPr>
          <w:rFonts w:eastAsiaTheme="minorHAnsi"/>
        </w:rPr>
      </w:pPr>
      <w:r>
        <w:rPr>
          <w:rFonts w:eastAsiaTheme="minorHAnsi"/>
        </w:rPr>
        <w:t>Our tools and powers</w:t>
      </w:r>
    </w:p>
    <w:p w14:paraId="55E880E9" w14:textId="6F668287" w:rsidR="003C3808" w:rsidRDefault="003C3808" w:rsidP="004D4616">
      <w:pPr>
        <w:rPr>
          <w:lang w:val="en-AU"/>
        </w:rPr>
      </w:pPr>
      <w:r>
        <w:rPr>
          <w:lang w:val="en-AU"/>
        </w:rPr>
        <w:t>Our tools range from providing education services to help practitioners maintain competency as well as sanctioning and disciplinary powers to directly address poor practitioner behaviour.</w:t>
      </w:r>
    </w:p>
    <w:p w14:paraId="042DB401" w14:textId="77777777" w:rsidR="003C3808" w:rsidRDefault="003C3808" w:rsidP="004D4616">
      <w:pPr>
        <w:rPr>
          <w:lang w:val="en-AU"/>
        </w:rPr>
      </w:pPr>
    </w:p>
    <w:p w14:paraId="4596EB74" w14:textId="64CC8ECD" w:rsidR="003C3808" w:rsidRDefault="003C3808" w:rsidP="004D4616">
      <w:pPr>
        <w:rPr>
          <w:lang w:val="en-AU"/>
        </w:rPr>
      </w:pPr>
      <w:r>
        <w:rPr>
          <w:lang w:val="en-AU"/>
        </w:rPr>
        <w:t xml:space="preserve">The approach outlined in this Statement builds on other inputs, including the Minister’s Statement of Expectations, the Authority’s </w:t>
      </w:r>
      <w:r>
        <w:rPr>
          <w:rFonts w:ascii="VIC-LightItalic" w:hAnsi="VIC-LightItalic" w:cs="VIC-LightItalic"/>
          <w:i/>
          <w:iCs/>
          <w:lang w:val="en-AU"/>
        </w:rPr>
        <w:t xml:space="preserve">Vision27 </w:t>
      </w:r>
      <w:r>
        <w:rPr>
          <w:lang w:val="en-AU"/>
        </w:rPr>
        <w:t>strategy, Better Regulation Victoria’s Towards Best Practice Regulation and the work of the Victorian Building System Review Expert Panel.</w:t>
      </w:r>
    </w:p>
    <w:p w14:paraId="11A7C196" w14:textId="77777777" w:rsidR="003C3808" w:rsidRDefault="003C3808" w:rsidP="004D4616">
      <w:pPr>
        <w:rPr>
          <w:lang w:val="en-AU"/>
        </w:rPr>
      </w:pPr>
    </w:p>
    <w:p w14:paraId="3666F3B9" w14:textId="540F517C" w:rsidR="003C3808" w:rsidRDefault="003C3808" w:rsidP="004D4616">
      <w:pPr>
        <w:rPr>
          <w:lang w:val="en-AU"/>
        </w:rPr>
      </w:pPr>
      <w:r>
        <w:rPr>
          <w:lang w:val="en-AU"/>
        </w:rPr>
        <w:t>We are gearing up to use our full suite of powers more often. This means that the Authority will, where necessary:</w:t>
      </w:r>
    </w:p>
    <w:p w14:paraId="4E520FD7" w14:textId="662F08FD" w:rsidR="003C3808" w:rsidRPr="004D4616" w:rsidRDefault="003C3808" w:rsidP="004D4616">
      <w:pPr>
        <w:pStyle w:val="ListParagraph"/>
        <w:numPr>
          <w:ilvl w:val="0"/>
          <w:numId w:val="36"/>
        </w:numPr>
        <w:rPr>
          <w:lang w:val="en-AU"/>
        </w:rPr>
      </w:pPr>
      <w:r w:rsidRPr="004D4616">
        <w:rPr>
          <w:lang w:val="en-AU"/>
        </w:rPr>
        <w:t xml:space="preserve">Use Directions to Fix and rectification notices to require practitioners to remedy non-compliant </w:t>
      </w:r>
      <w:proofErr w:type="gramStart"/>
      <w:r w:rsidRPr="004D4616">
        <w:rPr>
          <w:lang w:val="en-AU"/>
        </w:rPr>
        <w:t>work</w:t>
      </w:r>
      <w:proofErr w:type="gramEnd"/>
    </w:p>
    <w:p w14:paraId="2EC113AC" w14:textId="77777777" w:rsidR="003C3808" w:rsidRPr="004D4616" w:rsidRDefault="003C3808" w:rsidP="004D4616">
      <w:pPr>
        <w:pStyle w:val="ListParagraph"/>
        <w:numPr>
          <w:ilvl w:val="0"/>
          <w:numId w:val="36"/>
        </w:numPr>
        <w:rPr>
          <w:lang w:val="en-AU"/>
        </w:rPr>
      </w:pPr>
      <w:r w:rsidRPr="004D4616">
        <w:rPr>
          <w:lang w:val="en-AU"/>
        </w:rPr>
        <w:t xml:space="preserve">Seek maximum penalties to reinforce our expectations and change practitioner </w:t>
      </w:r>
      <w:proofErr w:type="gramStart"/>
      <w:r w:rsidRPr="004D4616">
        <w:rPr>
          <w:lang w:val="en-AU"/>
        </w:rPr>
        <w:t>behaviour</w:t>
      </w:r>
      <w:proofErr w:type="gramEnd"/>
    </w:p>
    <w:p w14:paraId="475C3625" w14:textId="79D4723A" w:rsidR="00A439AD" w:rsidRPr="004D4616" w:rsidRDefault="003C3808" w:rsidP="004D4616">
      <w:pPr>
        <w:pStyle w:val="ListParagraph"/>
        <w:numPr>
          <w:ilvl w:val="0"/>
          <w:numId w:val="36"/>
        </w:numPr>
        <w:rPr>
          <w:lang w:val="en-AU"/>
        </w:rPr>
      </w:pPr>
      <w:r w:rsidRPr="004D4616">
        <w:rPr>
          <w:lang w:val="en-AU"/>
        </w:rPr>
        <w:t xml:space="preserve">Use our registration, </w:t>
      </w:r>
      <w:proofErr w:type="gramStart"/>
      <w:r w:rsidRPr="004D4616">
        <w:rPr>
          <w:lang w:val="en-AU"/>
        </w:rPr>
        <w:t>licensing</w:t>
      </w:r>
      <w:proofErr w:type="gramEnd"/>
      <w:r w:rsidRPr="004D4616">
        <w:rPr>
          <w:lang w:val="en-AU"/>
        </w:rPr>
        <w:t xml:space="preserve"> and disciplinary powers to remove those practitioners from the building and plumbing system who put consumers at risk.</w:t>
      </w:r>
      <w:r w:rsidR="00A439AD" w:rsidRPr="004D4616">
        <w:rPr>
          <w:color w:val="000000"/>
          <w:lang w:val="en-AU"/>
        </w:rPr>
        <w:br w:type="page"/>
      </w:r>
    </w:p>
    <w:p w14:paraId="0E7129F7" w14:textId="77777777" w:rsidR="00A439AD" w:rsidRDefault="00A439AD" w:rsidP="004D4616">
      <w:pPr>
        <w:pStyle w:val="Heading2"/>
        <w:rPr>
          <w:rFonts w:eastAsiaTheme="minorHAnsi"/>
        </w:rPr>
      </w:pPr>
      <w:r>
        <w:rPr>
          <w:rFonts w:eastAsiaTheme="minorHAnsi"/>
        </w:rPr>
        <w:lastRenderedPageBreak/>
        <w:t>The Authority and consumers</w:t>
      </w:r>
    </w:p>
    <w:p w14:paraId="02287EE9" w14:textId="43B64ECA" w:rsidR="003C3808" w:rsidRDefault="003C3808" w:rsidP="004D4616">
      <w:pPr>
        <w:rPr>
          <w:lang w:val="en-AU"/>
        </w:rPr>
      </w:pPr>
      <w:r>
        <w:rPr>
          <w:lang w:val="en-AU"/>
        </w:rPr>
        <w:t>The Authority takes information from consumers, including complaints, seriously to inform our regulatory activity.</w:t>
      </w:r>
    </w:p>
    <w:p w14:paraId="52E22B16" w14:textId="77777777" w:rsidR="003C3808" w:rsidRDefault="003C3808" w:rsidP="004D4616">
      <w:pPr>
        <w:rPr>
          <w:lang w:val="en-AU"/>
        </w:rPr>
      </w:pPr>
    </w:p>
    <w:p w14:paraId="069B0048" w14:textId="2BC53D1C" w:rsidR="003C3808" w:rsidRDefault="003C3808" w:rsidP="004D4616">
      <w:pPr>
        <w:rPr>
          <w:lang w:val="en-AU"/>
        </w:rPr>
      </w:pPr>
      <w:r>
        <w:rPr>
          <w:lang w:val="en-AU"/>
        </w:rPr>
        <w:t xml:space="preserve">The Authority’s regulatory tools are oriented towards practitioner compliance with relevant building and plumbing regulations, </w:t>
      </w:r>
      <w:proofErr w:type="gramStart"/>
      <w:r>
        <w:rPr>
          <w:lang w:val="en-AU"/>
        </w:rPr>
        <w:t>codes</w:t>
      </w:r>
      <w:proofErr w:type="gramEnd"/>
      <w:r>
        <w:rPr>
          <w:lang w:val="en-AU"/>
        </w:rPr>
        <w:t xml:space="preserve"> and standards. This means the Authority is not always able to intervene or directly support a consumer outcome (e.g., during a contract dispute). The Authority’s role is to ensure compliance with the Act.</w:t>
      </w:r>
    </w:p>
    <w:p w14:paraId="755CF7BC" w14:textId="77777777" w:rsidR="003C3808" w:rsidRDefault="003C3808" w:rsidP="004D4616">
      <w:pPr>
        <w:rPr>
          <w:lang w:val="en-AU"/>
        </w:rPr>
      </w:pPr>
    </w:p>
    <w:p w14:paraId="05F9AE6B" w14:textId="009B77C4" w:rsidR="00A439AD" w:rsidRDefault="003C3808" w:rsidP="004D4616">
      <w:pPr>
        <w:rPr>
          <w:lang w:val="en-AU"/>
        </w:rPr>
      </w:pPr>
      <w:r>
        <w:rPr>
          <w:lang w:val="en-AU"/>
        </w:rPr>
        <w:t>The Authority works closely with other regulators in the system, such as Consumer Affairs Victoria (CAV) and Domestic Building Dispute Resolution Victoria (DBDRV), to provide consumers with a coordinated approach to how we regulate. More information on our regulatory partners is set out on pages 18-20.</w:t>
      </w:r>
    </w:p>
    <w:p w14:paraId="13DCF492" w14:textId="77777777" w:rsidR="003C3808" w:rsidRDefault="003C3808" w:rsidP="004D4616">
      <w:pPr>
        <w:rPr>
          <w:lang w:val="en-AU"/>
        </w:rPr>
      </w:pPr>
    </w:p>
    <w:p w14:paraId="61B474E9" w14:textId="5C08DFFB" w:rsidR="003C3808" w:rsidRDefault="003C3808" w:rsidP="004D4616">
      <w:pPr>
        <w:rPr>
          <w:lang w:val="en-AU"/>
        </w:rPr>
      </w:pPr>
      <w:r>
        <w:rPr>
          <w:lang w:val="en-AU"/>
        </w:rPr>
        <w:t>Further guidance for consumers is available from the website: building.vic.gov.au.</w:t>
      </w:r>
    </w:p>
    <w:p w14:paraId="2A25AFAC" w14:textId="77777777" w:rsidR="003C3808" w:rsidRDefault="003C3808" w:rsidP="004D4616">
      <w:pPr>
        <w:rPr>
          <w:lang w:val="en-AU"/>
        </w:rPr>
      </w:pPr>
    </w:p>
    <w:p w14:paraId="418E2351" w14:textId="5CBFCE7E" w:rsidR="003C3808" w:rsidRPr="003C3808" w:rsidRDefault="003C3808" w:rsidP="004D4616">
      <w:pPr>
        <w:rPr>
          <w:lang w:val="en-AU"/>
        </w:rPr>
      </w:pPr>
      <w:r>
        <w:rPr>
          <w:lang w:val="en-AU"/>
        </w:rPr>
        <w:t>We leverage our powers to get the best outcome for consumers.</w:t>
      </w:r>
    </w:p>
    <w:p w14:paraId="07AA9B76" w14:textId="4548D58A" w:rsidR="00A439AD" w:rsidRDefault="00A439AD" w:rsidP="00A439AD">
      <w:pPr>
        <w:widowControl/>
        <w:adjustRightInd w:val="0"/>
        <w:rPr>
          <w:rFonts w:ascii="VIC-Medium" w:eastAsiaTheme="minorHAnsi" w:hAnsi="VIC-Medium" w:cs="VIC-Medium"/>
          <w:color w:val="FFFFFF"/>
          <w:sz w:val="16"/>
          <w:szCs w:val="16"/>
          <w:lang w:val="en-AU"/>
        </w:rPr>
      </w:pPr>
    </w:p>
    <w:p w14:paraId="0B6903BF" w14:textId="77777777" w:rsidR="00A439AD" w:rsidRDefault="00A439AD" w:rsidP="004D4616">
      <w:pPr>
        <w:pStyle w:val="Heading2"/>
        <w:rPr>
          <w:rFonts w:eastAsiaTheme="minorHAnsi"/>
        </w:rPr>
      </w:pPr>
      <w:r>
        <w:rPr>
          <w:rFonts w:eastAsiaTheme="minorHAnsi"/>
        </w:rPr>
        <w:t>Consumer reports and tip-offs</w:t>
      </w:r>
    </w:p>
    <w:p w14:paraId="2CF8C08A" w14:textId="2E1DB9F3" w:rsidR="003C3808" w:rsidRDefault="003C3808" w:rsidP="004D4616">
      <w:pPr>
        <w:rPr>
          <w:lang w:val="en-AU"/>
        </w:rPr>
      </w:pPr>
      <w:r>
        <w:rPr>
          <w:lang w:val="en-AU"/>
        </w:rPr>
        <w:t>The Authority receives complaints and tip-offs from consumers about potentially harmful building and plumbing work or practitioners.</w:t>
      </w:r>
    </w:p>
    <w:p w14:paraId="79E62679" w14:textId="77777777" w:rsidR="003C3808" w:rsidRDefault="003C3808" w:rsidP="004D4616">
      <w:pPr>
        <w:rPr>
          <w:lang w:val="en-AU"/>
        </w:rPr>
      </w:pPr>
    </w:p>
    <w:p w14:paraId="123AA0CC" w14:textId="5B5B314E" w:rsidR="003C3808" w:rsidRPr="003C3808" w:rsidRDefault="003C3808" w:rsidP="004D4616">
      <w:pPr>
        <w:rPr>
          <w:lang w:val="en-AU"/>
        </w:rPr>
      </w:pPr>
      <w:r>
        <w:rPr>
          <w:lang w:val="en-AU"/>
        </w:rPr>
        <w:t>These insights provide vital intelligence and helps target our regulatory effort towards specific practitioners and potential safety or compliance risks.</w:t>
      </w:r>
    </w:p>
    <w:p w14:paraId="351D8110" w14:textId="77777777" w:rsidR="003C3808" w:rsidRDefault="003C3808" w:rsidP="003C3808">
      <w:pPr>
        <w:widowControl/>
        <w:adjustRightInd w:val="0"/>
        <w:rPr>
          <w:rFonts w:ascii="VIC-SemiBold" w:eastAsiaTheme="minorHAnsi" w:hAnsi="VIC-SemiBold" w:cs="VIC-SemiBold"/>
          <w:b/>
          <w:bCs/>
          <w:color w:val="0099FF"/>
          <w:sz w:val="40"/>
          <w:szCs w:val="40"/>
          <w:lang w:val="en-AU"/>
        </w:rPr>
      </w:pPr>
    </w:p>
    <w:p w14:paraId="6E375B8B" w14:textId="547F5CF2" w:rsidR="003C3808" w:rsidRPr="00A439AD" w:rsidRDefault="003C3808" w:rsidP="004D4616">
      <w:pPr>
        <w:pStyle w:val="Heading2"/>
        <w:rPr>
          <w:rFonts w:eastAsiaTheme="minorHAnsi"/>
        </w:rPr>
      </w:pPr>
      <w:r>
        <w:rPr>
          <w:rFonts w:eastAsiaTheme="minorHAnsi"/>
        </w:rPr>
        <w:t>We work with our regulatory partners to support consumer outcomes.</w:t>
      </w:r>
    </w:p>
    <w:p w14:paraId="717D6B94" w14:textId="77777777" w:rsidR="00B25726" w:rsidRDefault="00B25726" w:rsidP="00B25726">
      <w:pPr>
        <w:widowControl/>
        <w:adjustRightInd w:val="0"/>
        <w:rPr>
          <w:rFonts w:ascii="VIC-Light" w:eastAsiaTheme="minorHAnsi" w:hAnsi="VIC-Light" w:cs="VIC-Light"/>
          <w:color w:val="000000"/>
          <w:sz w:val="21"/>
          <w:szCs w:val="21"/>
          <w:lang w:val="en-AU"/>
        </w:rPr>
      </w:pPr>
    </w:p>
    <w:p w14:paraId="36E0461F" w14:textId="77777777" w:rsidR="00B25726" w:rsidRDefault="00B25726" w:rsidP="00B25726">
      <w:pPr>
        <w:widowControl/>
        <w:adjustRightInd w:val="0"/>
        <w:rPr>
          <w:rFonts w:ascii="VIC-Light" w:eastAsiaTheme="minorHAnsi" w:hAnsi="VIC-Light" w:cs="VIC-Light"/>
          <w:color w:val="000000"/>
          <w:sz w:val="21"/>
          <w:szCs w:val="21"/>
          <w:lang w:val="en-AU"/>
        </w:rPr>
      </w:pPr>
    </w:p>
    <w:p w14:paraId="330B7815" w14:textId="77777777" w:rsidR="00B25726" w:rsidRDefault="00B25726" w:rsidP="00B25726">
      <w:pPr>
        <w:widowControl/>
        <w:adjustRightInd w:val="0"/>
        <w:rPr>
          <w:rFonts w:ascii="VIC-Light" w:eastAsiaTheme="minorHAnsi" w:hAnsi="VIC-Light" w:cs="VIC-Light"/>
          <w:color w:val="000000"/>
          <w:sz w:val="21"/>
          <w:szCs w:val="21"/>
          <w:lang w:val="en-AU"/>
        </w:rPr>
      </w:pPr>
    </w:p>
    <w:p w14:paraId="63A3C54A" w14:textId="77777777" w:rsidR="00B25726" w:rsidRDefault="00B25726" w:rsidP="00B25726">
      <w:pPr>
        <w:widowControl/>
        <w:adjustRightInd w:val="0"/>
        <w:rPr>
          <w:rFonts w:ascii="VIC-Light" w:eastAsiaTheme="minorHAnsi" w:hAnsi="VIC-Light" w:cs="VIC-Light"/>
          <w:color w:val="000000"/>
          <w:sz w:val="21"/>
          <w:szCs w:val="21"/>
          <w:lang w:val="en-AU"/>
        </w:rPr>
      </w:pPr>
    </w:p>
    <w:p w14:paraId="227B259C" w14:textId="77777777" w:rsidR="00B25726" w:rsidRDefault="00B25726" w:rsidP="00B25726">
      <w:pPr>
        <w:widowControl/>
        <w:adjustRightInd w:val="0"/>
        <w:rPr>
          <w:rFonts w:ascii="VIC-Light" w:eastAsiaTheme="minorHAnsi" w:hAnsi="VIC-Light" w:cs="VIC-Light"/>
          <w:color w:val="000000"/>
          <w:sz w:val="21"/>
          <w:szCs w:val="21"/>
          <w:lang w:val="en-AU"/>
        </w:rPr>
      </w:pPr>
    </w:p>
    <w:p w14:paraId="6D2651F2" w14:textId="77777777" w:rsidR="00B25726" w:rsidRDefault="00B25726" w:rsidP="00B25726">
      <w:pPr>
        <w:widowControl/>
        <w:adjustRightInd w:val="0"/>
        <w:rPr>
          <w:rFonts w:ascii="VIC-Light" w:eastAsiaTheme="minorHAnsi" w:hAnsi="VIC-Light" w:cs="VIC-Light"/>
          <w:color w:val="000000"/>
          <w:sz w:val="21"/>
          <w:szCs w:val="21"/>
          <w:lang w:val="en-AU"/>
        </w:rPr>
      </w:pPr>
    </w:p>
    <w:p w14:paraId="33F52B7B" w14:textId="77777777" w:rsidR="00B25726" w:rsidRDefault="00B25726" w:rsidP="00B25726">
      <w:pPr>
        <w:widowControl/>
        <w:adjustRightInd w:val="0"/>
        <w:rPr>
          <w:rFonts w:ascii="VIC-Light" w:eastAsiaTheme="minorHAnsi" w:hAnsi="VIC-Light" w:cs="VIC-Light"/>
          <w:color w:val="000000"/>
          <w:sz w:val="21"/>
          <w:szCs w:val="21"/>
          <w:lang w:val="en-AU"/>
        </w:rPr>
      </w:pPr>
    </w:p>
    <w:p w14:paraId="7C23C912" w14:textId="77777777" w:rsidR="00B25726" w:rsidRDefault="00B25726" w:rsidP="004D4616">
      <w:pPr>
        <w:pStyle w:val="Heading2"/>
        <w:rPr>
          <w:rFonts w:eastAsiaTheme="minorHAnsi"/>
        </w:rPr>
      </w:pPr>
    </w:p>
    <w:p w14:paraId="36002685" w14:textId="329CB676" w:rsidR="00B25726" w:rsidRPr="00B25726" w:rsidRDefault="00B25726" w:rsidP="004D4616">
      <w:pPr>
        <w:widowControl/>
        <w:autoSpaceDE/>
        <w:autoSpaceDN/>
        <w:spacing w:after="160" w:line="259" w:lineRule="auto"/>
        <w:rPr>
          <w:rFonts w:ascii="VIC-Light" w:eastAsiaTheme="minorHAnsi" w:hAnsi="VIC-Light" w:cs="VIC-Light"/>
          <w:sz w:val="21"/>
          <w:szCs w:val="21"/>
          <w:lang w:val="en-AU"/>
        </w:rPr>
      </w:pPr>
      <w:r>
        <w:rPr>
          <w:rFonts w:ascii="VIC-Light" w:eastAsiaTheme="minorHAnsi" w:hAnsi="VIC-Light" w:cs="VIC-Light"/>
          <w:sz w:val="21"/>
          <w:szCs w:val="21"/>
          <w:lang w:val="en-AU"/>
        </w:rPr>
        <w:br w:type="page"/>
      </w:r>
    </w:p>
    <w:p w14:paraId="1D3B5677" w14:textId="4719D313" w:rsidR="00A439AD" w:rsidRDefault="003C3808" w:rsidP="004D4616">
      <w:pPr>
        <w:pStyle w:val="Heading2"/>
        <w:rPr>
          <w:rFonts w:eastAsiaTheme="minorHAnsi"/>
        </w:rPr>
      </w:pPr>
      <w:r>
        <w:rPr>
          <w:rFonts w:eastAsiaTheme="minorHAnsi"/>
        </w:rPr>
        <w:lastRenderedPageBreak/>
        <w:t xml:space="preserve">The Building Act </w:t>
      </w:r>
    </w:p>
    <w:p w14:paraId="39D28891" w14:textId="7FBAFD6A" w:rsidR="00A439AD" w:rsidRDefault="003C3808" w:rsidP="004D4616">
      <w:pPr>
        <w:rPr>
          <w:lang w:val="en-AU"/>
        </w:rPr>
      </w:pPr>
      <w:r>
        <w:rPr>
          <w:lang w:val="en-AU"/>
        </w:rPr>
        <w:t xml:space="preserve">The Act is the primary act which describes the regulatory </w:t>
      </w:r>
      <w:proofErr w:type="gramStart"/>
      <w:r>
        <w:rPr>
          <w:lang w:val="en-AU"/>
        </w:rPr>
        <w:t>system</w:t>
      </w:r>
      <w:proofErr w:type="gramEnd"/>
      <w:r>
        <w:rPr>
          <w:lang w:val="en-AU"/>
        </w:rPr>
        <w:t xml:space="preserve"> and this Act allocates specific powers to different agencies, authorities and other regulatory roles. Through this Act, the Authority has powers which focus on capability and capacity of building and plumbing practitioners and their compliance with relevant standards.</w:t>
      </w:r>
    </w:p>
    <w:p w14:paraId="593046D4" w14:textId="77777777" w:rsidR="003C3808" w:rsidRPr="003C3808" w:rsidRDefault="003C3808" w:rsidP="003C3808">
      <w:pPr>
        <w:widowControl/>
        <w:adjustRightInd w:val="0"/>
        <w:rPr>
          <w:rFonts w:ascii="VIC-Light" w:eastAsiaTheme="minorHAnsi" w:hAnsi="VIC-Light" w:cs="VIC-Light"/>
          <w:sz w:val="21"/>
          <w:szCs w:val="21"/>
          <w:lang w:val="en-AU"/>
        </w:rPr>
      </w:pPr>
    </w:p>
    <w:p w14:paraId="05261B8F" w14:textId="5F448AEA" w:rsidR="00A439AD" w:rsidRDefault="00A439AD" w:rsidP="004D4616">
      <w:pPr>
        <w:pStyle w:val="Heading2"/>
        <w:rPr>
          <w:rFonts w:eastAsiaTheme="minorHAnsi"/>
        </w:rPr>
      </w:pPr>
      <w:r>
        <w:rPr>
          <w:rFonts w:eastAsiaTheme="minorHAnsi"/>
        </w:rPr>
        <w:t xml:space="preserve">The Victorian economy relies on a well-regulated building </w:t>
      </w:r>
      <w:proofErr w:type="gramStart"/>
      <w:r>
        <w:rPr>
          <w:rFonts w:eastAsiaTheme="minorHAnsi"/>
        </w:rPr>
        <w:t>system</w:t>
      </w:r>
      <w:proofErr w:type="gramEnd"/>
    </w:p>
    <w:p w14:paraId="2758D782" w14:textId="7A98BDEC" w:rsidR="003C3808" w:rsidRDefault="003C3808" w:rsidP="004D4616">
      <w:pPr>
        <w:rPr>
          <w:lang w:val="en-AU"/>
        </w:rPr>
      </w:pPr>
      <w:r>
        <w:rPr>
          <w:lang w:val="en-AU"/>
        </w:rPr>
        <w:t xml:space="preserve">The building and construction industry is critical to Victoria’s economic prosperity. There is a serious level of risk to human life, property, economic </w:t>
      </w:r>
      <w:proofErr w:type="gramStart"/>
      <w:r>
        <w:rPr>
          <w:lang w:val="en-AU"/>
        </w:rPr>
        <w:t>wellbeing</w:t>
      </w:r>
      <w:proofErr w:type="gramEnd"/>
      <w:r>
        <w:rPr>
          <w:lang w:val="en-AU"/>
        </w:rPr>
        <w:t xml:space="preserve"> and the environment if building and plumbing work is not carried out properly and fails to meet relevant standards.</w:t>
      </w:r>
    </w:p>
    <w:p w14:paraId="2F3FF6CE" w14:textId="77777777" w:rsidR="003C3808" w:rsidRDefault="003C3808" w:rsidP="004D4616">
      <w:pPr>
        <w:rPr>
          <w:lang w:val="en-AU"/>
        </w:rPr>
      </w:pPr>
    </w:p>
    <w:p w14:paraId="0DF1B6DE" w14:textId="060628E9" w:rsidR="003C3808" w:rsidRDefault="003C3808" w:rsidP="004D4616">
      <w:pPr>
        <w:rPr>
          <w:lang w:val="en-AU"/>
        </w:rPr>
      </w:pPr>
      <w:r>
        <w:rPr>
          <w:lang w:val="en-AU"/>
        </w:rPr>
        <w:t>When practitioners fail to deliver, it impacts consumers’ financial and personal wellbeing. The Authority is one of several regulators in Victoria’s building regulatory system. The Authority is responsible for monitoring and enforcing building and plumbing compliance. The regulatory relationships are outlined on page 20.</w:t>
      </w:r>
    </w:p>
    <w:p w14:paraId="2AD06934" w14:textId="77777777" w:rsidR="003C3808" w:rsidRDefault="003C3808" w:rsidP="004D4616">
      <w:pPr>
        <w:rPr>
          <w:lang w:val="en-AU"/>
        </w:rPr>
      </w:pPr>
    </w:p>
    <w:p w14:paraId="2896A754" w14:textId="4B04FA5D" w:rsidR="003C3808" w:rsidRDefault="003C3808" w:rsidP="004D4616">
      <w:pPr>
        <w:rPr>
          <w:lang w:val="en-AU"/>
        </w:rPr>
      </w:pPr>
      <w:r>
        <w:rPr>
          <w:lang w:val="en-AU"/>
        </w:rPr>
        <w:t>The Authority’s primary focus is on the capability,</w:t>
      </w:r>
      <w:r w:rsidR="00EA3B02">
        <w:rPr>
          <w:lang w:val="en-AU"/>
        </w:rPr>
        <w:t xml:space="preserve"> </w:t>
      </w:r>
      <w:r>
        <w:rPr>
          <w:lang w:val="en-AU"/>
        </w:rPr>
        <w:t>conduct and practices of building and plumbing</w:t>
      </w:r>
      <w:r w:rsidR="00EA3B02">
        <w:rPr>
          <w:lang w:val="en-AU"/>
        </w:rPr>
        <w:t xml:space="preserve"> </w:t>
      </w:r>
      <w:r>
        <w:rPr>
          <w:lang w:val="en-AU"/>
        </w:rPr>
        <w:t>practitioners, to help ensure safety and</w:t>
      </w:r>
      <w:r w:rsidR="00EA3B02">
        <w:rPr>
          <w:lang w:val="en-AU"/>
        </w:rPr>
        <w:t xml:space="preserve"> </w:t>
      </w:r>
      <w:r>
        <w:rPr>
          <w:lang w:val="en-AU"/>
        </w:rPr>
        <w:t>quality in our built environment. By supporting</w:t>
      </w:r>
      <w:r w:rsidR="00EA3B02">
        <w:rPr>
          <w:lang w:val="en-AU"/>
        </w:rPr>
        <w:t xml:space="preserve"> </w:t>
      </w:r>
      <w:r>
        <w:rPr>
          <w:lang w:val="en-AU"/>
        </w:rPr>
        <w:t>proficient</w:t>
      </w:r>
      <w:r w:rsidR="00EA3B02">
        <w:rPr>
          <w:lang w:val="en-AU"/>
        </w:rPr>
        <w:t xml:space="preserve"> </w:t>
      </w:r>
      <w:r>
        <w:rPr>
          <w:lang w:val="en-AU"/>
        </w:rPr>
        <w:t>practitioners, and addressing problem</w:t>
      </w:r>
      <w:r w:rsidR="00EA3B02">
        <w:rPr>
          <w:lang w:val="en-AU"/>
        </w:rPr>
        <w:t xml:space="preserve"> </w:t>
      </w:r>
      <w:r>
        <w:rPr>
          <w:lang w:val="en-AU"/>
        </w:rPr>
        <w:t>practitioners, we help to protect consumer</w:t>
      </w:r>
      <w:r w:rsidR="00EA3B02">
        <w:rPr>
          <w:lang w:val="en-AU"/>
        </w:rPr>
        <w:t xml:space="preserve"> </w:t>
      </w:r>
      <w:r>
        <w:rPr>
          <w:lang w:val="en-AU"/>
        </w:rPr>
        <w:t>interests. Our role is</w:t>
      </w:r>
      <w:r w:rsidR="00EA3B02">
        <w:rPr>
          <w:lang w:val="en-AU"/>
        </w:rPr>
        <w:t xml:space="preserve"> </w:t>
      </w:r>
      <w:r>
        <w:rPr>
          <w:lang w:val="en-AU"/>
        </w:rPr>
        <w:t>supported by the regulatory</w:t>
      </w:r>
      <w:r w:rsidR="00EA3B02">
        <w:rPr>
          <w:lang w:val="en-AU"/>
        </w:rPr>
        <w:t xml:space="preserve"> </w:t>
      </w:r>
      <w:r>
        <w:rPr>
          <w:lang w:val="en-AU"/>
        </w:rPr>
        <w:t>roles of local councils and relevant building</w:t>
      </w:r>
      <w:r w:rsidR="00EA3B02">
        <w:rPr>
          <w:lang w:val="en-AU"/>
        </w:rPr>
        <w:t xml:space="preserve"> </w:t>
      </w:r>
      <w:r>
        <w:rPr>
          <w:lang w:val="en-AU"/>
        </w:rPr>
        <w:t>surveyors, who interact closely with practitioners.</w:t>
      </w:r>
    </w:p>
    <w:p w14:paraId="07D6D34D" w14:textId="77777777" w:rsidR="00EA3B02" w:rsidRDefault="00EA3B02" w:rsidP="004D4616">
      <w:pPr>
        <w:rPr>
          <w:lang w:val="en-AU"/>
        </w:rPr>
      </w:pPr>
    </w:p>
    <w:p w14:paraId="712D4E0B" w14:textId="5CBA9F6C" w:rsidR="003C3808" w:rsidRDefault="003C3808" w:rsidP="004D4616">
      <w:pPr>
        <w:rPr>
          <w:lang w:val="en-AU"/>
        </w:rPr>
      </w:pPr>
      <w:r>
        <w:rPr>
          <w:lang w:val="en-AU"/>
        </w:rPr>
        <w:t>The Authority’s role is further complemented by</w:t>
      </w:r>
      <w:r w:rsidR="00EA3B02">
        <w:rPr>
          <w:lang w:val="en-AU"/>
        </w:rPr>
        <w:t xml:space="preserve"> </w:t>
      </w:r>
      <w:r>
        <w:rPr>
          <w:lang w:val="en-AU"/>
        </w:rPr>
        <w:t>the work of other government agencies, such</w:t>
      </w:r>
      <w:r w:rsidR="00EA3B02">
        <w:rPr>
          <w:lang w:val="en-AU"/>
        </w:rPr>
        <w:t xml:space="preserve"> </w:t>
      </w:r>
      <w:r>
        <w:rPr>
          <w:lang w:val="en-AU"/>
        </w:rPr>
        <w:t>as CAV, DBDRV and the Victorian Managed</w:t>
      </w:r>
      <w:r w:rsidR="00EA3B02">
        <w:rPr>
          <w:lang w:val="en-AU"/>
        </w:rPr>
        <w:t xml:space="preserve"> </w:t>
      </w:r>
      <w:r>
        <w:rPr>
          <w:lang w:val="en-AU"/>
        </w:rPr>
        <w:t>Insurance Authority.</w:t>
      </w:r>
      <w:r w:rsidR="00EA3B02">
        <w:rPr>
          <w:lang w:val="en-AU"/>
        </w:rPr>
        <w:t xml:space="preserve"> </w:t>
      </w:r>
      <w:r>
        <w:rPr>
          <w:lang w:val="en-AU"/>
        </w:rPr>
        <w:t>WorkSafe Victoria and Energy Safe Victoria</w:t>
      </w:r>
      <w:r w:rsidR="00EA3B02">
        <w:rPr>
          <w:lang w:val="en-AU"/>
        </w:rPr>
        <w:t xml:space="preserve"> </w:t>
      </w:r>
      <w:r>
        <w:rPr>
          <w:lang w:val="en-AU"/>
        </w:rPr>
        <w:t>also</w:t>
      </w:r>
      <w:r w:rsidR="00EA3B02">
        <w:rPr>
          <w:lang w:val="en-AU"/>
        </w:rPr>
        <w:t xml:space="preserve"> </w:t>
      </w:r>
      <w:r>
        <w:rPr>
          <w:lang w:val="en-AU"/>
        </w:rPr>
        <w:t>assist consumers with urgent safety issues</w:t>
      </w:r>
      <w:r w:rsidR="00EA3B02">
        <w:rPr>
          <w:lang w:val="en-AU"/>
        </w:rPr>
        <w:t xml:space="preserve"> </w:t>
      </w:r>
      <w:r>
        <w:rPr>
          <w:lang w:val="en-AU"/>
        </w:rPr>
        <w:t>related to building and plumbing work.</w:t>
      </w:r>
    </w:p>
    <w:p w14:paraId="7B7F9F33" w14:textId="77777777" w:rsidR="00EA3B02" w:rsidRDefault="00EA3B02" w:rsidP="004D4616">
      <w:pPr>
        <w:rPr>
          <w:lang w:val="en-AU"/>
        </w:rPr>
      </w:pPr>
    </w:p>
    <w:p w14:paraId="561E56D7" w14:textId="77777777" w:rsidR="00B25726" w:rsidRDefault="003C3808" w:rsidP="004D4616">
      <w:pPr>
        <w:rPr>
          <w:lang w:val="en-AU"/>
        </w:rPr>
      </w:pPr>
      <w:r>
        <w:rPr>
          <w:lang w:val="en-AU"/>
        </w:rPr>
        <w:t>The Authority works closely with practitioners,</w:t>
      </w:r>
      <w:r w:rsidR="00EA3B02">
        <w:rPr>
          <w:lang w:val="en-AU"/>
        </w:rPr>
        <w:t xml:space="preserve"> </w:t>
      </w:r>
      <w:r>
        <w:rPr>
          <w:lang w:val="en-AU"/>
        </w:rPr>
        <w:t>building surveyors, industry associations and</w:t>
      </w:r>
      <w:r w:rsidR="00EA3B02">
        <w:rPr>
          <w:lang w:val="en-AU"/>
        </w:rPr>
        <w:t xml:space="preserve"> </w:t>
      </w:r>
      <w:r>
        <w:rPr>
          <w:lang w:val="en-AU"/>
        </w:rPr>
        <w:t>bodies, and regulatory partners to be a Trusted</w:t>
      </w:r>
      <w:r w:rsidR="00EA3B02">
        <w:rPr>
          <w:lang w:val="en-AU"/>
        </w:rPr>
        <w:t xml:space="preserve"> </w:t>
      </w:r>
      <w:r>
        <w:rPr>
          <w:lang w:val="en-AU"/>
        </w:rPr>
        <w:t>Regulator that improves consumer outcomes.</w:t>
      </w:r>
    </w:p>
    <w:p w14:paraId="5A0975B4" w14:textId="77777777" w:rsidR="00B25726" w:rsidRDefault="00B25726" w:rsidP="00EA3B02">
      <w:pPr>
        <w:widowControl/>
        <w:adjustRightInd w:val="0"/>
        <w:rPr>
          <w:rFonts w:ascii="VIC-Light" w:eastAsiaTheme="minorHAnsi" w:hAnsi="VIC-Light" w:cs="VIC-Light"/>
          <w:sz w:val="21"/>
          <w:szCs w:val="21"/>
          <w:lang w:val="en-AU"/>
        </w:rPr>
      </w:pPr>
    </w:p>
    <w:p w14:paraId="5B6D98EE" w14:textId="77777777" w:rsidR="00B25726" w:rsidRDefault="00B25726" w:rsidP="00EA3B02">
      <w:pPr>
        <w:widowControl/>
        <w:adjustRightInd w:val="0"/>
        <w:rPr>
          <w:rFonts w:ascii="VIC-Light" w:eastAsiaTheme="minorHAnsi" w:hAnsi="VIC-Light" w:cs="VIC-Light"/>
          <w:sz w:val="21"/>
          <w:szCs w:val="21"/>
          <w:lang w:val="en-AU"/>
        </w:rPr>
      </w:pPr>
    </w:p>
    <w:p w14:paraId="4AE7D862" w14:textId="77777777" w:rsidR="00B25726" w:rsidRDefault="00B25726" w:rsidP="00EA3B02">
      <w:pPr>
        <w:widowControl/>
        <w:adjustRightInd w:val="0"/>
        <w:rPr>
          <w:rFonts w:ascii="VIC-Light" w:eastAsiaTheme="minorHAnsi" w:hAnsi="VIC-Light" w:cs="VIC-Light"/>
          <w:sz w:val="21"/>
          <w:szCs w:val="21"/>
          <w:lang w:val="en-AU"/>
        </w:rPr>
      </w:pPr>
    </w:p>
    <w:p w14:paraId="2EC10908" w14:textId="77777777" w:rsidR="00B25726" w:rsidRDefault="00B25726" w:rsidP="00EA3B02">
      <w:pPr>
        <w:widowControl/>
        <w:adjustRightInd w:val="0"/>
        <w:rPr>
          <w:rFonts w:ascii="VIC-Light" w:eastAsiaTheme="minorHAnsi" w:hAnsi="VIC-Light" w:cs="VIC-Light"/>
          <w:sz w:val="21"/>
          <w:szCs w:val="21"/>
          <w:lang w:val="en-AU"/>
        </w:rPr>
      </w:pPr>
    </w:p>
    <w:p w14:paraId="741BAB3F" w14:textId="77777777" w:rsidR="00B25726" w:rsidRDefault="00B25726" w:rsidP="00EA3B02">
      <w:pPr>
        <w:widowControl/>
        <w:adjustRightInd w:val="0"/>
        <w:rPr>
          <w:rFonts w:ascii="VIC-Light" w:eastAsiaTheme="minorHAnsi" w:hAnsi="VIC-Light" w:cs="VIC-Light"/>
          <w:sz w:val="21"/>
          <w:szCs w:val="21"/>
          <w:lang w:val="en-AU"/>
        </w:rPr>
      </w:pPr>
    </w:p>
    <w:p w14:paraId="72A517B8" w14:textId="77777777" w:rsidR="00B25726" w:rsidRDefault="00B25726" w:rsidP="00EA3B02">
      <w:pPr>
        <w:widowControl/>
        <w:adjustRightInd w:val="0"/>
        <w:rPr>
          <w:rFonts w:ascii="VIC-Light" w:eastAsiaTheme="minorHAnsi" w:hAnsi="VIC-Light" w:cs="VIC-Light"/>
          <w:sz w:val="21"/>
          <w:szCs w:val="21"/>
          <w:lang w:val="en-AU"/>
        </w:rPr>
      </w:pPr>
    </w:p>
    <w:p w14:paraId="0E3DA86A" w14:textId="77777777" w:rsidR="00B25726" w:rsidRDefault="00B25726" w:rsidP="00EA3B02">
      <w:pPr>
        <w:widowControl/>
        <w:adjustRightInd w:val="0"/>
        <w:rPr>
          <w:rFonts w:ascii="VIC-Light" w:eastAsiaTheme="minorHAnsi" w:hAnsi="VIC-Light" w:cs="VIC-Light"/>
          <w:sz w:val="21"/>
          <w:szCs w:val="21"/>
          <w:lang w:val="en-AU"/>
        </w:rPr>
      </w:pPr>
    </w:p>
    <w:p w14:paraId="41739811" w14:textId="77777777" w:rsidR="00B25726" w:rsidRDefault="00B25726" w:rsidP="00EA3B02">
      <w:pPr>
        <w:widowControl/>
        <w:adjustRightInd w:val="0"/>
        <w:rPr>
          <w:rFonts w:ascii="VIC-Light" w:eastAsiaTheme="minorHAnsi" w:hAnsi="VIC-Light" w:cs="VIC-Light"/>
          <w:sz w:val="21"/>
          <w:szCs w:val="21"/>
          <w:lang w:val="en-AU"/>
        </w:rPr>
      </w:pPr>
    </w:p>
    <w:p w14:paraId="5D7E7D35" w14:textId="77777777" w:rsidR="00B25726" w:rsidRDefault="00B25726" w:rsidP="00EA3B02">
      <w:pPr>
        <w:widowControl/>
        <w:adjustRightInd w:val="0"/>
        <w:rPr>
          <w:rFonts w:ascii="VIC-Light" w:eastAsiaTheme="minorHAnsi" w:hAnsi="VIC-Light" w:cs="VIC-Light"/>
          <w:sz w:val="21"/>
          <w:szCs w:val="21"/>
          <w:lang w:val="en-AU"/>
        </w:rPr>
      </w:pPr>
    </w:p>
    <w:p w14:paraId="17E8B0E8" w14:textId="77777777" w:rsidR="00B25726" w:rsidRDefault="00B25726" w:rsidP="00EA3B02">
      <w:pPr>
        <w:widowControl/>
        <w:adjustRightInd w:val="0"/>
        <w:rPr>
          <w:rFonts w:ascii="VIC-Light" w:eastAsiaTheme="minorHAnsi" w:hAnsi="VIC-Light" w:cs="VIC-Light"/>
          <w:sz w:val="21"/>
          <w:szCs w:val="21"/>
          <w:lang w:val="en-AU"/>
        </w:rPr>
      </w:pPr>
    </w:p>
    <w:p w14:paraId="6A8720F3" w14:textId="722B0A50" w:rsidR="00A439AD" w:rsidRDefault="00A439AD" w:rsidP="004D4616">
      <w:pPr>
        <w:pStyle w:val="Heading2"/>
        <w:rPr>
          <w:rFonts w:eastAsiaTheme="minorHAnsi"/>
        </w:rPr>
      </w:pPr>
      <w:r>
        <w:rPr>
          <w:rFonts w:eastAsiaTheme="minorHAnsi"/>
        </w:rPr>
        <w:br w:type="page"/>
      </w:r>
    </w:p>
    <w:p w14:paraId="47781086" w14:textId="77777777" w:rsidR="00A439AD" w:rsidRDefault="00A439AD" w:rsidP="00A439AD">
      <w:pPr>
        <w:widowControl/>
        <w:adjustRightInd w:val="0"/>
        <w:rPr>
          <w:rFonts w:ascii="VIC-Bold" w:eastAsiaTheme="minorHAnsi" w:hAnsi="VIC-Bold" w:cs="VIC-Bold"/>
          <w:b/>
          <w:bCs/>
          <w:color w:val="003963"/>
          <w:sz w:val="80"/>
          <w:szCs w:val="80"/>
          <w:lang w:val="en-AU"/>
        </w:rPr>
      </w:pPr>
    </w:p>
    <w:p w14:paraId="07D684A4" w14:textId="77777777" w:rsidR="00A439AD" w:rsidRDefault="00A439AD" w:rsidP="00A439AD">
      <w:pPr>
        <w:widowControl/>
        <w:adjustRightInd w:val="0"/>
        <w:rPr>
          <w:rFonts w:ascii="VIC-Bold" w:eastAsiaTheme="minorHAnsi" w:hAnsi="VIC-Bold" w:cs="VIC-Bold"/>
          <w:b/>
          <w:bCs/>
          <w:color w:val="003963"/>
          <w:sz w:val="80"/>
          <w:szCs w:val="80"/>
          <w:lang w:val="en-AU"/>
        </w:rPr>
      </w:pPr>
    </w:p>
    <w:p w14:paraId="05979C25" w14:textId="77777777" w:rsidR="00A439AD" w:rsidRDefault="00A439AD" w:rsidP="00A439AD">
      <w:pPr>
        <w:widowControl/>
        <w:adjustRightInd w:val="0"/>
        <w:rPr>
          <w:rFonts w:ascii="VIC-Bold" w:eastAsiaTheme="minorHAnsi" w:hAnsi="VIC-Bold" w:cs="VIC-Bold"/>
          <w:b/>
          <w:bCs/>
          <w:color w:val="003963"/>
          <w:sz w:val="80"/>
          <w:szCs w:val="80"/>
          <w:lang w:val="en-AU"/>
        </w:rPr>
      </w:pPr>
    </w:p>
    <w:p w14:paraId="58F2F651" w14:textId="0CF039F0" w:rsidR="00A439AD" w:rsidRDefault="00A439AD" w:rsidP="004D4616">
      <w:pPr>
        <w:pStyle w:val="Heading1"/>
        <w:rPr>
          <w:rFonts w:eastAsiaTheme="minorHAnsi"/>
        </w:rPr>
      </w:pPr>
      <w:r>
        <w:rPr>
          <w:rFonts w:eastAsiaTheme="minorHAnsi"/>
        </w:rPr>
        <w:t>Safe quality buildings are</w:t>
      </w:r>
      <w:r w:rsidR="004D4616">
        <w:rPr>
          <w:rFonts w:eastAsiaTheme="minorHAnsi"/>
        </w:rPr>
        <w:br/>
      </w:r>
      <w:r>
        <w:rPr>
          <w:rFonts w:eastAsiaTheme="minorHAnsi"/>
        </w:rPr>
        <w:t>a shared responsibility</w:t>
      </w:r>
      <w:r w:rsidR="004D4616">
        <w:rPr>
          <w:rFonts w:eastAsiaTheme="minorHAnsi"/>
        </w:rPr>
        <w:br/>
      </w:r>
      <w:r>
        <w:rPr>
          <w:rFonts w:eastAsiaTheme="minorHAnsi"/>
        </w:rPr>
        <w:t>by all players in the</w:t>
      </w:r>
      <w:r w:rsidR="004D4616">
        <w:rPr>
          <w:rFonts w:eastAsiaTheme="minorHAnsi"/>
        </w:rPr>
        <w:br/>
      </w:r>
      <w:r>
        <w:rPr>
          <w:rFonts w:eastAsiaTheme="minorHAnsi"/>
        </w:rPr>
        <w:t>system - practitioners,</w:t>
      </w:r>
      <w:r w:rsidR="004D4616">
        <w:rPr>
          <w:rFonts w:eastAsiaTheme="minorHAnsi"/>
        </w:rPr>
        <w:br/>
      </w:r>
      <w:r>
        <w:rPr>
          <w:rFonts w:eastAsiaTheme="minorHAnsi"/>
        </w:rPr>
        <w:t>building surveyors and</w:t>
      </w:r>
      <w:r w:rsidR="004D4616">
        <w:rPr>
          <w:rFonts w:eastAsiaTheme="minorHAnsi"/>
        </w:rPr>
        <w:br/>
      </w:r>
      <w:r>
        <w:rPr>
          <w:rFonts w:eastAsiaTheme="minorHAnsi"/>
        </w:rPr>
        <w:t>partner regulators.</w:t>
      </w:r>
    </w:p>
    <w:p w14:paraId="017AD941" w14:textId="77777777" w:rsidR="00B25726" w:rsidRDefault="00B25726" w:rsidP="00A439AD">
      <w:pPr>
        <w:widowControl/>
        <w:adjustRightInd w:val="0"/>
        <w:rPr>
          <w:rFonts w:ascii="VIC-Bold" w:eastAsiaTheme="minorHAnsi" w:hAnsi="VIC-Bold" w:cs="VIC-Bold"/>
          <w:b/>
          <w:bCs/>
          <w:color w:val="003963"/>
          <w:sz w:val="80"/>
          <w:szCs w:val="80"/>
          <w:lang w:val="en-AU"/>
        </w:rPr>
      </w:pPr>
    </w:p>
    <w:p w14:paraId="0853814B" w14:textId="77777777" w:rsidR="00B25726" w:rsidRDefault="00B25726" w:rsidP="00A439AD">
      <w:pPr>
        <w:widowControl/>
        <w:adjustRightInd w:val="0"/>
        <w:rPr>
          <w:rFonts w:ascii="VIC-Bold" w:eastAsiaTheme="minorHAnsi" w:hAnsi="VIC-Bold" w:cs="VIC-Bold"/>
          <w:b/>
          <w:bCs/>
          <w:color w:val="003963"/>
          <w:sz w:val="80"/>
          <w:szCs w:val="80"/>
          <w:lang w:val="en-AU"/>
        </w:rPr>
      </w:pPr>
    </w:p>
    <w:p w14:paraId="1F3DC28B" w14:textId="77777777" w:rsidR="00A439AD" w:rsidRDefault="00A439AD">
      <w:pPr>
        <w:widowControl/>
        <w:autoSpaceDE/>
        <w:autoSpaceDN/>
        <w:spacing w:after="160" w:line="259" w:lineRule="auto"/>
        <w:rPr>
          <w:rFonts w:ascii="VIC-Bold" w:eastAsiaTheme="minorHAnsi" w:hAnsi="VIC-Bold" w:cs="VIC-Bold"/>
          <w:b/>
          <w:bCs/>
          <w:color w:val="003963"/>
          <w:sz w:val="80"/>
          <w:szCs w:val="80"/>
          <w:lang w:val="en-AU"/>
        </w:rPr>
      </w:pPr>
      <w:r>
        <w:rPr>
          <w:rFonts w:ascii="VIC-Bold" w:eastAsiaTheme="minorHAnsi" w:hAnsi="VIC-Bold" w:cs="VIC-Bold"/>
          <w:b/>
          <w:bCs/>
          <w:color w:val="003963"/>
          <w:sz w:val="80"/>
          <w:szCs w:val="80"/>
          <w:lang w:val="en-AU"/>
        </w:rPr>
        <w:br w:type="page"/>
      </w:r>
    </w:p>
    <w:p w14:paraId="5E76114E" w14:textId="2CDC9CDC" w:rsidR="00A439AD" w:rsidRDefault="00A439AD" w:rsidP="004D4616">
      <w:pPr>
        <w:pStyle w:val="Heading1"/>
        <w:rPr>
          <w:rFonts w:eastAsiaTheme="minorHAnsi"/>
        </w:rPr>
      </w:pPr>
      <w:r>
        <w:rPr>
          <w:rFonts w:eastAsiaTheme="minorHAnsi"/>
        </w:rPr>
        <w:lastRenderedPageBreak/>
        <w:t>Regulators and other agencies</w:t>
      </w:r>
      <w:r w:rsidR="004D4616">
        <w:rPr>
          <w:rFonts w:eastAsiaTheme="minorHAnsi"/>
        </w:rPr>
        <w:t xml:space="preserve"> </w:t>
      </w:r>
      <w:r>
        <w:rPr>
          <w:rFonts w:eastAsiaTheme="minorHAnsi"/>
        </w:rPr>
        <w:t>in Victoria’s building system</w:t>
      </w:r>
    </w:p>
    <w:p w14:paraId="5B439FF8" w14:textId="77777777" w:rsidR="00A439AD" w:rsidRDefault="00A439AD" w:rsidP="00A439AD">
      <w:pPr>
        <w:widowControl/>
        <w:adjustRightInd w:val="0"/>
        <w:rPr>
          <w:rFonts w:ascii="VIC-Bold" w:eastAsiaTheme="minorHAnsi" w:hAnsi="VIC-Bold" w:cs="VIC-Bold"/>
          <w:b/>
          <w:bCs/>
          <w:color w:val="0099FF"/>
          <w:sz w:val="68"/>
          <w:szCs w:val="68"/>
          <w:lang w:val="en-AU"/>
        </w:rPr>
      </w:pPr>
    </w:p>
    <w:p w14:paraId="1FD25EC8" w14:textId="13B6C1D0" w:rsidR="00A439AD" w:rsidRDefault="00A439AD" w:rsidP="004D4616">
      <w:pPr>
        <w:pStyle w:val="Heading2"/>
        <w:rPr>
          <w:rFonts w:eastAsiaTheme="minorHAnsi"/>
        </w:rPr>
      </w:pPr>
      <w:r>
        <w:rPr>
          <w:rFonts w:eastAsiaTheme="minorHAnsi"/>
        </w:rPr>
        <w:t>Practitioners:</w:t>
      </w:r>
      <w:r w:rsidR="00EA3B02">
        <w:rPr>
          <w:rFonts w:eastAsiaTheme="minorHAnsi"/>
        </w:rPr>
        <w:t xml:space="preserve"> </w:t>
      </w:r>
      <w:r>
        <w:rPr>
          <w:rFonts w:eastAsiaTheme="minorHAnsi"/>
        </w:rPr>
        <w:t>Accountable for quality and safety</w:t>
      </w:r>
    </w:p>
    <w:p w14:paraId="74989247" w14:textId="77777777" w:rsidR="00A439AD" w:rsidRDefault="00A439AD" w:rsidP="00A439AD">
      <w:pPr>
        <w:widowControl/>
        <w:adjustRightInd w:val="0"/>
        <w:rPr>
          <w:rFonts w:ascii="VIC-Bold" w:eastAsiaTheme="minorHAnsi" w:hAnsi="VIC-Bold" w:cs="VIC-Bold"/>
          <w:b/>
          <w:bCs/>
          <w:color w:val="003963"/>
          <w:sz w:val="50"/>
          <w:szCs w:val="50"/>
          <w:lang w:val="en-AU"/>
        </w:rPr>
      </w:pPr>
    </w:p>
    <w:p w14:paraId="100BFE5B" w14:textId="53BD160D" w:rsidR="00A439AD" w:rsidRDefault="00A439AD" w:rsidP="004D4616">
      <w:pPr>
        <w:pStyle w:val="Heading2"/>
        <w:rPr>
          <w:rFonts w:eastAsiaTheme="minorHAnsi"/>
        </w:rPr>
      </w:pPr>
      <w:r>
        <w:rPr>
          <w:rFonts w:eastAsiaTheme="minorHAnsi"/>
        </w:rPr>
        <w:t>Victoria’s Building Regulatory System</w:t>
      </w:r>
    </w:p>
    <w:p w14:paraId="53480A9C" w14:textId="3B69736D" w:rsidR="00A439AD" w:rsidRDefault="00A439AD" w:rsidP="004D4616">
      <w:pPr>
        <w:pStyle w:val="Heading3"/>
        <w:rPr>
          <w:rFonts w:eastAsiaTheme="minorHAnsi"/>
        </w:rPr>
      </w:pPr>
      <w:r>
        <w:rPr>
          <w:rFonts w:eastAsiaTheme="minorHAnsi"/>
        </w:rPr>
        <w:t>Victorian Building Authority</w:t>
      </w:r>
    </w:p>
    <w:p w14:paraId="63AB10B1" w14:textId="2E3C94AD" w:rsidR="00A439AD" w:rsidRPr="00EA3B02" w:rsidRDefault="00EA3B02" w:rsidP="004D4616">
      <w:pPr>
        <w:rPr>
          <w:lang w:val="en-AU"/>
        </w:rPr>
      </w:pPr>
      <w:r>
        <w:rPr>
          <w:lang w:val="en-AU"/>
        </w:rPr>
        <w:t>Monitors and enforces compliance through registration and licensing of practitioners, monitoring of building and plumbing work and taking enforcement action</w:t>
      </w:r>
      <w:r w:rsidR="004D4616">
        <w:rPr>
          <w:lang w:val="en-AU"/>
        </w:rPr>
        <w:br/>
      </w:r>
    </w:p>
    <w:p w14:paraId="51C41096" w14:textId="6BA4C947" w:rsidR="00A439AD" w:rsidRDefault="00A439AD" w:rsidP="004D4616">
      <w:pPr>
        <w:pStyle w:val="Heading3"/>
        <w:rPr>
          <w:rFonts w:eastAsiaTheme="minorHAnsi"/>
        </w:rPr>
      </w:pPr>
      <w:r>
        <w:rPr>
          <w:rFonts w:eastAsiaTheme="minorHAnsi"/>
        </w:rPr>
        <w:t>Local councils/Municipal Building Surveyors</w:t>
      </w:r>
    </w:p>
    <w:p w14:paraId="631DBB6A" w14:textId="4A983B5E" w:rsidR="007735E4" w:rsidRPr="00EA3B02" w:rsidRDefault="00EA3B02" w:rsidP="004D4616">
      <w:pPr>
        <w:rPr>
          <w:lang w:val="en-AU"/>
        </w:rPr>
      </w:pPr>
      <w:r>
        <w:rPr>
          <w:lang w:val="en-AU"/>
        </w:rPr>
        <w:t xml:space="preserve">Inspect buildings, issue or revoke notices, determinations and orders (for non-compliance or emergencies) that impact on health, safety or </w:t>
      </w:r>
      <w:proofErr w:type="gramStart"/>
      <w:r>
        <w:rPr>
          <w:lang w:val="en-AU"/>
        </w:rPr>
        <w:t>life</w:t>
      </w:r>
      <w:proofErr w:type="gramEnd"/>
    </w:p>
    <w:p w14:paraId="044CAB4F" w14:textId="4E469D79" w:rsidR="007735E4" w:rsidRDefault="004D4616" w:rsidP="004D4616">
      <w:pPr>
        <w:pStyle w:val="Heading3"/>
        <w:rPr>
          <w:rFonts w:eastAsiaTheme="minorHAnsi"/>
        </w:rPr>
      </w:pPr>
      <w:r>
        <w:rPr>
          <w:rFonts w:eastAsiaTheme="minorHAnsi"/>
        </w:rPr>
        <w:br/>
      </w:r>
      <w:r w:rsidR="007735E4">
        <w:rPr>
          <w:rFonts w:eastAsiaTheme="minorHAnsi"/>
        </w:rPr>
        <w:t>Relevant Building Surveyors</w:t>
      </w:r>
    </w:p>
    <w:p w14:paraId="667C3DD0" w14:textId="690DC99D" w:rsidR="007735E4" w:rsidRDefault="00EA3B02" w:rsidP="004D4616">
      <w:pPr>
        <w:rPr>
          <w:lang w:val="en-AU"/>
        </w:rPr>
      </w:pPr>
      <w:r>
        <w:rPr>
          <w:lang w:val="en-AU"/>
        </w:rPr>
        <w:t xml:space="preserve">Issue building permits, enforce safety and building standards, carry out inspections, and issue certificates of final inspection and occupancy </w:t>
      </w:r>
      <w:proofErr w:type="gramStart"/>
      <w:r>
        <w:rPr>
          <w:lang w:val="en-AU"/>
        </w:rPr>
        <w:t>permits</w:t>
      </w:r>
      <w:proofErr w:type="gramEnd"/>
    </w:p>
    <w:p w14:paraId="72C77780" w14:textId="77777777" w:rsidR="004D4616" w:rsidRPr="004D4616" w:rsidRDefault="004D4616" w:rsidP="004D4616">
      <w:pPr>
        <w:rPr>
          <w:lang w:val="en-AU"/>
        </w:rPr>
      </w:pPr>
    </w:p>
    <w:p w14:paraId="40758634" w14:textId="74BF35B4" w:rsidR="007735E4" w:rsidRDefault="007735E4" w:rsidP="004D4616">
      <w:pPr>
        <w:pStyle w:val="Heading3"/>
        <w:rPr>
          <w:rFonts w:eastAsiaTheme="minorHAnsi"/>
        </w:rPr>
      </w:pPr>
      <w:r>
        <w:rPr>
          <w:rFonts w:eastAsiaTheme="minorHAnsi"/>
        </w:rPr>
        <w:t>Other regulators and agencies</w:t>
      </w:r>
    </w:p>
    <w:p w14:paraId="05ABDABC" w14:textId="6A059F5A" w:rsidR="007735E4" w:rsidRPr="004D4616" w:rsidRDefault="007735E4" w:rsidP="004D4616">
      <w:pPr>
        <w:pStyle w:val="ListParagraph"/>
        <w:numPr>
          <w:ilvl w:val="0"/>
          <w:numId w:val="41"/>
        </w:numPr>
        <w:rPr>
          <w:lang w:val="en-AU"/>
        </w:rPr>
      </w:pPr>
      <w:r w:rsidRPr="004D4616">
        <w:rPr>
          <w:lang w:val="en-AU"/>
        </w:rPr>
        <w:t>Architects Registration Board of Victoria</w:t>
      </w:r>
    </w:p>
    <w:p w14:paraId="1D91A163" w14:textId="15485CDE" w:rsidR="007735E4" w:rsidRPr="004D4616" w:rsidRDefault="007735E4" w:rsidP="004D4616">
      <w:pPr>
        <w:pStyle w:val="ListParagraph"/>
        <w:numPr>
          <w:ilvl w:val="0"/>
          <w:numId w:val="41"/>
        </w:numPr>
        <w:rPr>
          <w:lang w:val="en-AU"/>
        </w:rPr>
      </w:pPr>
      <w:r w:rsidRPr="004D4616">
        <w:rPr>
          <w:lang w:val="en-AU"/>
        </w:rPr>
        <w:t>Building Appeals Board, courts and VCAT</w:t>
      </w:r>
    </w:p>
    <w:p w14:paraId="643E9381" w14:textId="151C9FEA" w:rsidR="007735E4" w:rsidRPr="004D4616" w:rsidRDefault="007735E4" w:rsidP="004D4616">
      <w:pPr>
        <w:pStyle w:val="ListParagraph"/>
        <w:numPr>
          <w:ilvl w:val="0"/>
          <w:numId w:val="41"/>
        </w:numPr>
        <w:rPr>
          <w:lang w:val="en-AU"/>
        </w:rPr>
      </w:pPr>
      <w:r w:rsidRPr="004D4616">
        <w:rPr>
          <w:lang w:val="en-AU"/>
        </w:rPr>
        <w:t>Consumer Affairs</w:t>
      </w:r>
    </w:p>
    <w:p w14:paraId="44ACD86D" w14:textId="50F654B6" w:rsidR="007735E4" w:rsidRPr="004D4616" w:rsidRDefault="007735E4" w:rsidP="004D4616">
      <w:pPr>
        <w:pStyle w:val="ListParagraph"/>
        <w:numPr>
          <w:ilvl w:val="0"/>
          <w:numId w:val="41"/>
        </w:numPr>
        <w:rPr>
          <w:lang w:val="en-AU"/>
        </w:rPr>
      </w:pPr>
      <w:r w:rsidRPr="004D4616">
        <w:rPr>
          <w:lang w:val="en-AU"/>
        </w:rPr>
        <w:t>Victoria Domestic Building Dispute Resolution Victoria</w:t>
      </w:r>
    </w:p>
    <w:p w14:paraId="5F75C454" w14:textId="0086DDC4" w:rsidR="007735E4" w:rsidRPr="004D4616" w:rsidRDefault="007735E4" w:rsidP="004D4616">
      <w:pPr>
        <w:pStyle w:val="ListParagraph"/>
        <w:numPr>
          <w:ilvl w:val="0"/>
          <w:numId w:val="41"/>
        </w:numPr>
        <w:rPr>
          <w:lang w:val="en-AU"/>
        </w:rPr>
      </w:pPr>
      <w:r w:rsidRPr="004D4616">
        <w:rPr>
          <w:lang w:val="en-AU"/>
        </w:rPr>
        <w:t>Energy Safe Victoria</w:t>
      </w:r>
    </w:p>
    <w:p w14:paraId="7D63B1A4" w14:textId="1C338BCC" w:rsidR="007735E4" w:rsidRPr="004D4616" w:rsidRDefault="007735E4" w:rsidP="004D4616">
      <w:pPr>
        <w:pStyle w:val="ListParagraph"/>
        <w:numPr>
          <w:ilvl w:val="0"/>
          <w:numId w:val="41"/>
        </w:numPr>
        <w:rPr>
          <w:lang w:val="en-AU"/>
        </w:rPr>
      </w:pPr>
      <w:r w:rsidRPr="004D4616">
        <w:rPr>
          <w:lang w:val="en-AU"/>
        </w:rPr>
        <w:t xml:space="preserve">Fire authorities </w:t>
      </w:r>
    </w:p>
    <w:p w14:paraId="24500AA7" w14:textId="77777777" w:rsidR="007735E4" w:rsidRPr="004D4616" w:rsidRDefault="007735E4" w:rsidP="004D4616">
      <w:pPr>
        <w:pStyle w:val="ListParagraph"/>
        <w:numPr>
          <w:ilvl w:val="0"/>
          <w:numId w:val="41"/>
        </w:numPr>
        <w:rPr>
          <w:lang w:val="en-AU"/>
        </w:rPr>
      </w:pPr>
      <w:r w:rsidRPr="004D4616">
        <w:rPr>
          <w:lang w:val="en-AU"/>
        </w:rPr>
        <w:t>Victorian Managed Insurance Authority</w:t>
      </w:r>
    </w:p>
    <w:p w14:paraId="3BBEFC45" w14:textId="3A076D12" w:rsidR="007735E4" w:rsidRPr="004D4616" w:rsidRDefault="007735E4" w:rsidP="004D4616">
      <w:pPr>
        <w:pStyle w:val="ListParagraph"/>
        <w:numPr>
          <w:ilvl w:val="0"/>
          <w:numId w:val="41"/>
        </w:numPr>
        <w:rPr>
          <w:lang w:val="en-AU"/>
        </w:rPr>
      </w:pPr>
      <w:r w:rsidRPr="004D4616">
        <w:rPr>
          <w:lang w:val="en-AU"/>
        </w:rPr>
        <w:t>WorkSafe Victoria</w:t>
      </w:r>
    </w:p>
    <w:p w14:paraId="49F01A10" w14:textId="77777777" w:rsidR="007735E4" w:rsidRDefault="007735E4" w:rsidP="004D4616">
      <w:pPr>
        <w:rPr>
          <w:lang w:val="en-AU"/>
        </w:rPr>
      </w:pPr>
      <w:r>
        <w:rPr>
          <w:lang w:val="en-AU"/>
        </w:rPr>
        <w:br w:type="page"/>
      </w:r>
    </w:p>
    <w:p w14:paraId="57BE64AA"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3BFF843C"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68A72533"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2C825025"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007EBB5A"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513AD627"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1BE1F6EE" w14:textId="77777777" w:rsidR="00B25726" w:rsidRDefault="00B25726">
      <w:pPr>
        <w:widowControl/>
        <w:autoSpaceDE/>
        <w:autoSpaceDN/>
        <w:spacing w:after="160" w:line="259" w:lineRule="auto"/>
        <w:rPr>
          <w:rStyle w:val="Emphasis"/>
          <w:rFonts w:ascii="VIC-Medium" w:eastAsiaTheme="minorHAnsi" w:hAnsi="VIC-Medium" w:cs="VIC-Medium"/>
          <w:i w:val="0"/>
          <w:iCs w:val="0"/>
          <w:sz w:val="26"/>
          <w:szCs w:val="26"/>
          <w:lang w:val="en-AU"/>
        </w:rPr>
      </w:pPr>
    </w:p>
    <w:p w14:paraId="39E24F42" w14:textId="0D900BF1" w:rsidR="007735E4" w:rsidRDefault="007735E4" w:rsidP="004D4616">
      <w:pPr>
        <w:pStyle w:val="Heading2"/>
        <w:rPr>
          <w:rStyle w:val="Emphasis"/>
          <w:rFonts w:ascii="VIC-Medium" w:eastAsiaTheme="minorHAnsi" w:hAnsi="VIC-Medium" w:cs="VIC-Medium"/>
          <w:i w:val="0"/>
          <w:iCs w:val="0"/>
          <w:sz w:val="26"/>
        </w:rPr>
      </w:pPr>
      <w:r>
        <w:rPr>
          <w:rStyle w:val="Emphasis"/>
          <w:rFonts w:ascii="VIC-Medium" w:eastAsiaTheme="minorHAnsi" w:hAnsi="VIC-Medium" w:cs="VIC-Medium"/>
          <w:i w:val="0"/>
          <w:iCs w:val="0"/>
          <w:sz w:val="26"/>
        </w:rPr>
        <w:br w:type="page"/>
      </w:r>
    </w:p>
    <w:p w14:paraId="6BD10D8B" w14:textId="77777777" w:rsidR="007735E4" w:rsidRDefault="007735E4" w:rsidP="007735E4">
      <w:pPr>
        <w:widowControl/>
        <w:adjustRightInd w:val="0"/>
        <w:rPr>
          <w:rStyle w:val="Emphasis"/>
          <w:rFonts w:ascii="VIC-Medium" w:eastAsiaTheme="minorHAnsi" w:hAnsi="VIC-Medium" w:cs="VIC-Medium"/>
          <w:i w:val="0"/>
          <w:iCs w:val="0"/>
          <w:sz w:val="26"/>
          <w:szCs w:val="26"/>
          <w:lang w:val="en-AU"/>
        </w:rPr>
      </w:pPr>
    </w:p>
    <w:p w14:paraId="6ADDAE4E" w14:textId="77777777" w:rsidR="00DA74DB" w:rsidRDefault="00DA74DB" w:rsidP="007735E4">
      <w:pPr>
        <w:widowControl/>
        <w:adjustRightInd w:val="0"/>
        <w:rPr>
          <w:rStyle w:val="Emphasis"/>
          <w:rFonts w:ascii="VIC-Medium" w:eastAsiaTheme="minorHAnsi" w:hAnsi="VIC-Medium" w:cs="VIC-Medium"/>
          <w:i w:val="0"/>
          <w:iCs w:val="0"/>
          <w:sz w:val="26"/>
          <w:szCs w:val="26"/>
          <w:lang w:val="en-AU"/>
        </w:rPr>
      </w:pPr>
    </w:p>
    <w:p w14:paraId="7F0541BD" w14:textId="77777777" w:rsidR="00DA74DB" w:rsidRDefault="00DA74DB" w:rsidP="007735E4">
      <w:pPr>
        <w:widowControl/>
        <w:adjustRightInd w:val="0"/>
        <w:rPr>
          <w:rStyle w:val="Emphasis"/>
          <w:rFonts w:ascii="VIC-Medium" w:eastAsiaTheme="minorHAnsi" w:hAnsi="VIC-Medium" w:cs="VIC-Medium"/>
          <w:i w:val="0"/>
          <w:iCs w:val="0"/>
          <w:sz w:val="26"/>
          <w:szCs w:val="26"/>
          <w:lang w:val="en-AU"/>
        </w:rPr>
      </w:pPr>
    </w:p>
    <w:p w14:paraId="35407134" w14:textId="77777777" w:rsidR="00DA74DB" w:rsidRDefault="00DA74DB" w:rsidP="007735E4">
      <w:pPr>
        <w:widowControl/>
        <w:adjustRightInd w:val="0"/>
        <w:rPr>
          <w:rStyle w:val="Emphasis"/>
          <w:rFonts w:ascii="VIC-Medium" w:eastAsiaTheme="minorHAnsi" w:hAnsi="VIC-Medium" w:cs="VIC-Medium"/>
          <w:i w:val="0"/>
          <w:iCs w:val="0"/>
          <w:sz w:val="26"/>
          <w:szCs w:val="26"/>
          <w:lang w:val="en-AU"/>
        </w:rPr>
      </w:pPr>
    </w:p>
    <w:p w14:paraId="7CC2F115" w14:textId="77777777" w:rsidR="00DA74DB" w:rsidRDefault="00DA74DB" w:rsidP="004D4616">
      <w:pPr>
        <w:pStyle w:val="Heading2"/>
        <w:rPr>
          <w:rFonts w:eastAsiaTheme="minorHAnsi"/>
        </w:rPr>
      </w:pPr>
      <w:r>
        <w:rPr>
          <w:rFonts w:eastAsiaTheme="minorHAnsi"/>
        </w:rPr>
        <w:t>Online</w:t>
      </w:r>
    </w:p>
    <w:p w14:paraId="5DA7A5A4" w14:textId="77777777" w:rsidR="00DA74DB" w:rsidRDefault="00DA74DB" w:rsidP="004D4616">
      <w:pPr>
        <w:rPr>
          <w:lang w:val="en-AU"/>
        </w:rPr>
      </w:pPr>
      <w:r>
        <w:rPr>
          <w:lang w:val="en-AU"/>
        </w:rPr>
        <w:t>www.vba.vic.gov.au</w:t>
      </w:r>
    </w:p>
    <w:p w14:paraId="3D9C00A6" w14:textId="77777777" w:rsidR="00DA74DB" w:rsidRDefault="00DA74DB" w:rsidP="00DA74DB">
      <w:pPr>
        <w:widowControl/>
        <w:adjustRightInd w:val="0"/>
        <w:rPr>
          <w:rFonts w:ascii="VIC-SemiBold" w:eastAsiaTheme="minorHAnsi" w:hAnsi="VIC-SemiBold" w:cs="VIC-SemiBold"/>
          <w:b/>
          <w:bCs/>
          <w:sz w:val="20"/>
          <w:szCs w:val="20"/>
          <w:lang w:val="en-AU"/>
        </w:rPr>
      </w:pPr>
    </w:p>
    <w:p w14:paraId="038A7DE4" w14:textId="15C4E543" w:rsidR="00DA74DB" w:rsidRDefault="00DA74DB" w:rsidP="004D4616">
      <w:pPr>
        <w:pStyle w:val="Heading2"/>
        <w:rPr>
          <w:rFonts w:eastAsiaTheme="minorHAnsi"/>
        </w:rPr>
      </w:pPr>
      <w:r>
        <w:rPr>
          <w:rFonts w:eastAsiaTheme="minorHAnsi"/>
        </w:rPr>
        <w:t>Email</w:t>
      </w:r>
    </w:p>
    <w:p w14:paraId="730C4A39" w14:textId="77777777" w:rsidR="00DA74DB" w:rsidRDefault="00DA74DB" w:rsidP="004D4616">
      <w:pPr>
        <w:rPr>
          <w:lang w:val="en-AU"/>
        </w:rPr>
      </w:pPr>
      <w:r>
        <w:rPr>
          <w:lang w:val="en-AU"/>
        </w:rPr>
        <w:t>customerservice@vba.vic.gov.au</w:t>
      </w:r>
    </w:p>
    <w:p w14:paraId="1CF8CDF4" w14:textId="77777777" w:rsidR="00DA74DB" w:rsidRDefault="00DA74DB" w:rsidP="00DA74DB">
      <w:pPr>
        <w:widowControl/>
        <w:adjustRightInd w:val="0"/>
        <w:rPr>
          <w:rFonts w:ascii="VIC-SemiBold" w:eastAsiaTheme="minorHAnsi" w:hAnsi="VIC-SemiBold" w:cs="VIC-SemiBold"/>
          <w:b/>
          <w:bCs/>
          <w:sz w:val="20"/>
          <w:szCs w:val="20"/>
          <w:lang w:val="en-AU"/>
        </w:rPr>
      </w:pPr>
    </w:p>
    <w:p w14:paraId="398867F7" w14:textId="24D1BAD2" w:rsidR="00DA74DB" w:rsidRDefault="00DA74DB" w:rsidP="004D4616">
      <w:pPr>
        <w:pStyle w:val="Heading2"/>
        <w:rPr>
          <w:rFonts w:eastAsiaTheme="minorHAnsi"/>
        </w:rPr>
      </w:pPr>
      <w:r>
        <w:rPr>
          <w:rFonts w:eastAsiaTheme="minorHAnsi"/>
        </w:rPr>
        <w:t>Postal Address</w:t>
      </w:r>
    </w:p>
    <w:p w14:paraId="410940ED" w14:textId="77777777" w:rsidR="00DA74DB" w:rsidRDefault="00DA74DB" w:rsidP="004D4616">
      <w:pPr>
        <w:rPr>
          <w:lang w:val="en-AU"/>
        </w:rPr>
      </w:pPr>
      <w:r>
        <w:rPr>
          <w:lang w:val="en-AU"/>
        </w:rPr>
        <w:t>PO Box 536</w:t>
      </w:r>
    </w:p>
    <w:p w14:paraId="1B0CA7E8" w14:textId="77777777" w:rsidR="00DA74DB" w:rsidRDefault="00DA74DB" w:rsidP="004D4616">
      <w:pPr>
        <w:rPr>
          <w:lang w:val="en-AU"/>
        </w:rPr>
      </w:pPr>
      <w:r>
        <w:rPr>
          <w:lang w:val="en-AU"/>
        </w:rPr>
        <w:t>Melbourne VIC 3001</w:t>
      </w:r>
    </w:p>
    <w:p w14:paraId="2DE09826" w14:textId="77777777" w:rsidR="00DA74DB" w:rsidRDefault="00DA74DB" w:rsidP="00DA74DB">
      <w:pPr>
        <w:widowControl/>
        <w:adjustRightInd w:val="0"/>
        <w:rPr>
          <w:rFonts w:ascii="VIC-SemiBold" w:eastAsiaTheme="minorHAnsi" w:hAnsi="VIC-SemiBold" w:cs="VIC-SemiBold"/>
          <w:b/>
          <w:bCs/>
          <w:sz w:val="20"/>
          <w:szCs w:val="20"/>
          <w:lang w:val="en-AU"/>
        </w:rPr>
      </w:pPr>
    </w:p>
    <w:p w14:paraId="4F9220A9" w14:textId="1001BDF2" w:rsidR="00DA74DB" w:rsidRDefault="00DA74DB" w:rsidP="004D4616">
      <w:pPr>
        <w:pStyle w:val="Heading2"/>
        <w:rPr>
          <w:rFonts w:eastAsiaTheme="minorHAnsi"/>
        </w:rPr>
      </w:pPr>
      <w:r>
        <w:rPr>
          <w:rFonts w:eastAsiaTheme="minorHAnsi"/>
        </w:rPr>
        <w:t>Telephone</w:t>
      </w:r>
    </w:p>
    <w:p w14:paraId="33FBC1C5" w14:textId="77777777" w:rsidR="00DA74DB" w:rsidRDefault="00DA74DB" w:rsidP="004D4616">
      <w:pPr>
        <w:rPr>
          <w:lang w:val="en-AU"/>
        </w:rPr>
      </w:pPr>
      <w:r>
        <w:rPr>
          <w:lang w:val="en-AU"/>
        </w:rPr>
        <w:t>1300 815 127</w:t>
      </w:r>
    </w:p>
    <w:p w14:paraId="6DF6CF6A" w14:textId="77777777" w:rsidR="00DA74DB" w:rsidRDefault="00DA74DB" w:rsidP="00DA74DB">
      <w:pPr>
        <w:widowControl/>
        <w:adjustRightInd w:val="0"/>
        <w:rPr>
          <w:rFonts w:ascii="VIC-SemiBold" w:eastAsiaTheme="minorHAnsi" w:hAnsi="VIC-SemiBold" w:cs="VIC-SemiBold"/>
          <w:b/>
          <w:bCs/>
          <w:sz w:val="20"/>
          <w:szCs w:val="20"/>
          <w:lang w:val="en-AU"/>
        </w:rPr>
      </w:pPr>
    </w:p>
    <w:p w14:paraId="5C457C41" w14:textId="1C39BC3A" w:rsidR="00DA74DB" w:rsidRDefault="00DA74DB" w:rsidP="004D4616">
      <w:pPr>
        <w:pStyle w:val="Heading2"/>
        <w:rPr>
          <w:rFonts w:eastAsiaTheme="minorHAnsi"/>
        </w:rPr>
      </w:pPr>
      <w:r>
        <w:rPr>
          <w:rFonts w:eastAsiaTheme="minorHAnsi"/>
        </w:rPr>
        <w:t>Opening Hours</w:t>
      </w:r>
    </w:p>
    <w:p w14:paraId="70BCB3B6" w14:textId="77777777" w:rsidR="00DA74DB" w:rsidRDefault="00DA74DB" w:rsidP="004D4616">
      <w:pPr>
        <w:rPr>
          <w:lang w:val="en-AU"/>
        </w:rPr>
      </w:pPr>
      <w:r>
        <w:rPr>
          <w:lang w:val="en-AU"/>
        </w:rPr>
        <w:t>Monday to Friday,</w:t>
      </w:r>
    </w:p>
    <w:p w14:paraId="12472EC0" w14:textId="77777777" w:rsidR="00DA74DB" w:rsidRDefault="00DA74DB" w:rsidP="004D4616">
      <w:pPr>
        <w:rPr>
          <w:lang w:val="en-AU"/>
        </w:rPr>
      </w:pPr>
      <w:r>
        <w:rPr>
          <w:lang w:val="en-AU"/>
        </w:rPr>
        <w:t>8:30am to 5:00pm</w:t>
      </w:r>
    </w:p>
    <w:p w14:paraId="3AA2F1E6" w14:textId="77777777" w:rsidR="00DA74DB" w:rsidRDefault="00DA74DB" w:rsidP="00DA74DB">
      <w:pPr>
        <w:widowControl/>
        <w:adjustRightInd w:val="0"/>
        <w:rPr>
          <w:rFonts w:ascii="VIC-SemiBold" w:eastAsiaTheme="minorHAnsi" w:hAnsi="VIC-SemiBold" w:cs="VIC-SemiBold"/>
          <w:b/>
          <w:bCs/>
          <w:sz w:val="20"/>
          <w:szCs w:val="20"/>
          <w:lang w:val="en-AU"/>
        </w:rPr>
      </w:pPr>
    </w:p>
    <w:p w14:paraId="4FD9494D" w14:textId="30800740" w:rsidR="00DA74DB" w:rsidRDefault="00DA74DB" w:rsidP="004D4616">
      <w:pPr>
        <w:pStyle w:val="Heading2"/>
        <w:rPr>
          <w:rFonts w:eastAsiaTheme="minorHAnsi"/>
        </w:rPr>
      </w:pPr>
      <w:r>
        <w:rPr>
          <w:rFonts w:eastAsiaTheme="minorHAnsi"/>
        </w:rPr>
        <w:t>Registered Office</w:t>
      </w:r>
    </w:p>
    <w:p w14:paraId="5DDDE8BC" w14:textId="77777777" w:rsidR="00DA74DB" w:rsidRDefault="00DA74DB" w:rsidP="004D4616">
      <w:pPr>
        <w:rPr>
          <w:lang w:val="en-AU"/>
        </w:rPr>
      </w:pPr>
      <w:r>
        <w:rPr>
          <w:lang w:val="en-AU"/>
        </w:rPr>
        <w:t>Goods Shed North</w:t>
      </w:r>
    </w:p>
    <w:p w14:paraId="2536655E" w14:textId="77777777" w:rsidR="00DA74DB" w:rsidRDefault="00DA74DB" w:rsidP="004D4616">
      <w:pPr>
        <w:rPr>
          <w:lang w:val="en-AU"/>
        </w:rPr>
      </w:pPr>
      <w:r>
        <w:rPr>
          <w:lang w:val="en-AU"/>
        </w:rPr>
        <w:t>733 Bourke Street</w:t>
      </w:r>
    </w:p>
    <w:p w14:paraId="32DB7E4C" w14:textId="77777777" w:rsidR="00DA74DB" w:rsidRDefault="00DA74DB" w:rsidP="004D4616">
      <w:pPr>
        <w:rPr>
          <w:lang w:val="en-AU"/>
        </w:rPr>
      </w:pPr>
      <w:r>
        <w:rPr>
          <w:lang w:val="en-AU"/>
        </w:rPr>
        <w:t>Docklands VIC 3008</w:t>
      </w:r>
    </w:p>
    <w:p w14:paraId="26AA34CE" w14:textId="77777777" w:rsidR="00DA74DB" w:rsidRDefault="00DA74DB" w:rsidP="004D4616">
      <w:pPr>
        <w:rPr>
          <w:lang w:val="en-AU"/>
        </w:rPr>
      </w:pPr>
    </w:p>
    <w:p w14:paraId="068A3925" w14:textId="43BEF44B" w:rsidR="00DA74DB" w:rsidRDefault="00DA74DB" w:rsidP="004D4616">
      <w:pPr>
        <w:rPr>
          <w:lang w:val="en-AU"/>
        </w:rPr>
      </w:pPr>
      <w:r>
        <w:rPr>
          <w:lang w:val="en-AU"/>
        </w:rPr>
        <w:t>For enquiries in languages other than English, contact the Translating and Interpreting Service on 131 450.</w:t>
      </w:r>
    </w:p>
    <w:p w14:paraId="3B7D417C" w14:textId="77777777" w:rsidR="00DA74DB" w:rsidRDefault="00DA74DB" w:rsidP="004D4616">
      <w:pPr>
        <w:rPr>
          <w:lang w:val="en-AU"/>
        </w:rPr>
      </w:pPr>
    </w:p>
    <w:p w14:paraId="74ECC98B" w14:textId="0D85A568" w:rsidR="00DA74DB" w:rsidRDefault="00DA74DB" w:rsidP="004D4616">
      <w:pPr>
        <w:rPr>
          <w:lang w:val="en-AU"/>
        </w:rPr>
      </w:pPr>
      <w:r>
        <w:rPr>
          <w:lang w:val="en-AU"/>
        </w:rPr>
        <w:t>If you are deaf, or have a hearing or speech impairment, contact us through the National Relay Service. For more information, visit: relayservice.gov.au</w:t>
      </w:r>
      <w:r w:rsidR="00EA3B02">
        <w:rPr>
          <w:lang w:val="en-AU"/>
        </w:rPr>
        <w:t>.</w:t>
      </w:r>
    </w:p>
    <w:p w14:paraId="6B258F97" w14:textId="77777777" w:rsidR="00DA74DB" w:rsidRDefault="00DA74DB" w:rsidP="00DA74DB">
      <w:pPr>
        <w:widowControl/>
        <w:adjustRightInd w:val="0"/>
        <w:rPr>
          <w:rFonts w:ascii="VIC-SemiBold" w:eastAsiaTheme="minorHAnsi" w:hAnsi="VIC-SemiBold" w:cs="VIC-SemiBold"/>
          <w:b/>
          <w:bCs/>
          <w:sz w:val="20"/>
          <w:szCs w:val="20"/>
          <w:lang w:val="en-AU"/>
        </w:rPr>
      </w:pPr>
    </w:p>
    <w:p w14:paraId="3AFCC971" w14:textId="7E465486" w:rsidR="00DA74DB" w:rsidRDefault="00DA74DB" w:rsidP="004D4616">
      <w:pPr>
        <w:pStyle w:val="Heading2"/>
        <w:rPr>
          <w:rFonts w:eastAsiaTheme="minorHAnsi"/>
        </w:rPr>
      </w:pPr>
      <w:r>
        <w:rPr>
          <w:rFonts w:eastAsiaTheme="minorHAnsi"/>
        </w:rPr>
        <w:t>Accessibility</w:t>
      </w:r>
    </w:p>
    <w:p w14:paraId="44F79EE2" w14:textId="141F6614" w:rsidR="00DA74DB" w:rsidRDefault="00DA74DB" w:rsidP="004D4616">
      <w:pPr>
        <w:rPr>
          <w:lang w:val="en-AU"/>
        </w:rPr>
      </w:pPr>
      <w:r>
        <w:rPr>
          <w:lang w:val="en-AU"/>
        </w:rPr>
        <w:t>This document is available in an accessible version at vba.vic.gov.au</w:t>
      </w:r>
      <w:r w:rsidR="00EA3B02">
        <w:rPr>
          <w:lang w:val="en-AU"/>
        </w:rPr>
        <w:t>.</w:t>
      </w:r>
    </w:p>
    <w:p w14:paraId="3373758B" w14:textId="77777777" w:rsidR="00DA74DB" w:rsidRDefault="00DA74DB" w:rsidP="004D4616">
      <w:pPr>
        <w:rPr>
          <w:lang w:val="en-AU"/>
        </w:rPr>
      </w:pPr>
    </w:p>
    <w:p w14:paraId="1C362B87" w14:textId="77777777" w:rsidR="00DA74DB" w:rsidRDefault="00DA74DB" w:rsidP="004D4616">
      <w:pPr>
        <w:rPr>
          <w:lang w:val="en-AU"/>
        </w:rPr>
      </w:pPr>
      <w:r>
        <w:rPr>
          <w:lang w:val="en-AU"/>
        </w:rPr>
        <w:t xml:space="preserve">This publication is subject to copyright. No part may be reproduced by any process except in accordance with the provisions of the </w:t>
      </w:r>
      <w:r>
        <w:rPr>
          <w:rFonts w:ascii="VIC-LightItalic" w:hAnsi="VIC-LightItalic" w:cs="VIC-LightItalic"/>
          <w:i/>
          <w:iCs/>
          <w:lang w:val="en-AU"/>
        </w:rPr>
        <w:t>Copyright Act 1968.</w:t>
      </w:r>
    </w:p>
    <w:p w14:paraId="13898F4B" w14:textId="77777777" w:rsidR="00DA74DB" w:rsidRDefault="00DA74DB" w:rsidP="00DA74DB">
      <w:pPr>
        <w:widowControl/>
        <w:adjustRightInd w:val="0"/>
        <w:rPr>
          <w:rFonts w:ascii="VIC-Light" w:eastAsiaTheme="minorHAnsi" w:hAnsi="VIC-Light" w:cs="VIC-Light"/>
          <w:sz w:val="18"/>
          <w:szCs w:val="18"/>
          <w:lang w:val="en-AU"/>
        </w:rPr>
      </w:pPr>
    </w:p>
    <w:p w14:paraId="599A5F05" w14:textId="65309323" w:rsidR="00DA74DB" w:rsidRPr="00DA74DB" w:rsidRDefault="00DA74DB" w:rsidP="004D4616">
      <w:pPr>
        <w:pStyle w:val="Heading2"/>
        <w:rPr>
          <w:rFonts w:ascii="VIC-Light" w:eastAsiaTheme="minorHAnsi" w:hAnsi="VIC-Light" w:cs="VIC-Light"/>
          <w:sz w:val="18"/>
          <w:szCs w:val="18"/>
        </w:rPr>
      </w:pPr>
      <w:r>
        <w:rPr>
          <w:rFonts w:eastAsiaTheme="minorHAnsi"/>
        </w:rPr>
        <w:t>Photography</w:t>
      </w:r>
    </w:p>
    <w:p w14:paraId="5825C74E" w14:textId="77777777" w:rsidR="00EA3B02" w:rsidRDefault="00DA74DB" w:rsidP="004D4616">
      <w:pPr>
        <w:rPr>
          <w:lang w:val="en-AU"/>
        </w:rPr>
      </w:pPr>
      <w:r>
        <w:rPr>
          <w:lang w:val="en-AU"/>
        </w:rPr>
        <w:t>Steffen Pedersen - Little Viking Productions Pty Ltd</w:t>
      </w:r>
    </w:p>
    <w:p w14:paraId="345F4099" w14:textId="55A4505D" w:rsidR="00B25726" w:rsidRDefault="00DA74DB" w:rsidP="004D4616">
      <w:pPr>
        <w:rPr>
          <w:lang w:val="en-AU"/>
        </w:rPr>
      </w:pPr>
      <w:r>
        <w:rPr>
          <w:lang w:val="en-AU"/>
        </w:rPr>
        <w:t>Ivan</w:t>
      </w:r>
      <w:r w:rsidR="00EA3B02">
        <w:rPr>
          <w:lang w:val="en-AU"/>
        </w:rPr>
        <w:t xml:space="preserve"> </w:t>
      </w:r>
      <w:r>
        <w:rPr>
          <w:lang w:val="en-AU"/>
        </w:rPr>
        <w:t>Lee - IJ Productions</w:t>
      </w:r>
    </w:p>
    <w:p w14:paraId="1BABE3F8" w14:textId="77777777" w:rsidR="00B25726" w:rsidRDefault="00B25726" w:rsidP="004D4616">
      <w:pPr>
        <w:rPr>
          <w:lang w:val="en-AU"/>
        </w:rPr>
      </w:pPr>
      <w:r>
        <w:rPr>
          <w:lang w:val="en-AU"/>
        </w:rPr>
        <w:br w:type="page"/>
      </w:r>
    </w:p>
    <w:p w14:paraId="5F8392D1" w14:textId="77777777" w:rsidR="00DA74DB" w:rsidRDefault="00DA74DB" w:rsidP="00DA74DB">
      <w:pPr>
        <w:widowControl/>
        <w:adjustRightInd w:val="0"/>
        <w:rPr>
          <w:rStyle w:val="Emphasis"/>
          <w:rFonts w:ascii="VIC-Light" w:eastAsiaTheme="minorHAnsi" w:hAnsi="VIC-Light" w:cs="VIC-Light"/>
          <w:i w:val="0"/>
          <w:iCs w:val="0"/>
          <w:sz w:val="18"/>
          <w:szCs w:val="18"/>
          <w:lang w:val="en-AU"/>
        </w:rPr>
      </w:pPr>
    </w:p>
    <w:p w14:paraId="5FC2A069"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2E4733E"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69BCDE2F"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F718225"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0E606850"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2C682FA9"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7A72311"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31BD5C05"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03B08A9"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520820BF"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6B202097"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35E1E06"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737FB01A"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3261C221" w14:textId="77777777" w:rsidR="00B25726" w:rsidRDefault="00B25726" w:rsidP="00DA74DB">
      <w:pPr>
        <w:widowControl/>
        <w:adjustRightInd w:val="0"/>
        <w:rPr>
          <w:rStyle w:val="Emphasis"/>
          <w:rFonts w:ascii="VIC-Light" w:eastAsiaTheme="minorHAnsi" w:hAnsi="VIC-Light" w:cs="VIC-Light"/>
          <w:i w:val="0"/>
          <w:iCs w:val="0"/>
          <w:sz w:val="18"/>
          <w:szCs w:val="18"/>
          <w:lang w:val="en-AU"/>
        </w:rPr>
      </w:pPr>
    </w:p>
    <w:p w14:paraId="30506AA7" w14:textId="50848C96" w:rsidR="00B25726" w:rsidRPr="004D4616" w:rsidRDefault="00B25726" w:rsidP="004D4616">
      <w:pPr>
        <w:widowControl/>
        <w:autoSpaceDE/>
        <w:autoSpaceDN/>
        <w:spacing w:after="160" w:line="259" w:lineRule="auto"/>
        <w:rPr>
          <w:rStyle w:val="Emphasis"/>
          <w:rFonts w:ascii="VIC-Light" w:eastAsiaTheme="minorHAnsi" w:hAnsi="VIC-Light" w:cs="VIC-Light"/>
          <w:i w:val="0"/>
          <w:iCs w:val="0"/>
          <w:sz w:val="21"/>
          <w:szCs w:val="21"/>
          <w:lang w:val="en-AU"/>
        </w:rPr>
      </w:pPr>
    </w:p>
    <w:sectPr w:rsidR="00B25726" w:rsidRPr="004D4616" w:rsidSect="00E52A7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C6EE" w14:textId="77777777" w:rsidR="00EF77FD" w:rsidRDefault="00EF77FD" w:rsidP="000308F9">
      <w:r>
        <w:separator/>
      </w:r>
    </w:p>
  </w:endnote>
  <w:endnote w:type="continuationSeparator" w:id="0">
    <w:p w14:paraId="20B82C3E" w14:textId="77777777" w:rsidR="00EF77FD" w:rsidRDefault="00EF77FD" w:rsidP="0003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Light">
    <w:altName w:val="Yu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IC-SemiBold">
    <w:altName w:val="Calibri"/>
    <w:panose1 w:val="00000000000000000000"/>
    <w:charset w:val="00"/>
    <w:family w:val="swiss"/>
    <w:notTrueType/>
    <w:pitch w:val="default"/>
    <w:sig w:usb0="00000003" w:usb1="00000000" w:usb2="00000000" w:usb3="00000000" w:csb0="00000001" w:csb1="00000000"/>
  </w:font>
  <w:font w:name="VIC-Bold">
    <w:altName w:val="Calibri"/>
    <w:panose1 w:val="00000000000000000000"/>
    <w:charset w:val="00"/>
    <w:family w:val="swiss"/>
    <w:notTrueType/>
    <w:pitch w:val="default"/>
    <w:sig w:usb0="00000003" w:usb1="00000000" w:usb2="00000000" w:usb3="00000000" w:csb0="00000001" w:csb1="00000000"/>
  </w:font>
  <w:font w:name="VIC-Regular">
    <w:altName w:val="Calibri"/>
    <w:panose1 w:val="00000000000000000000"/>
    <w:charset w:val="00"/>
    <w:family w:val="swiss"/>
    <w:notTrueType/>
    <w:pitch w:val="default"/>
    <w:sig w:usb0="00000003" w:usb1="00000000" w:usb2="00000000" w:usb3="00000000" w:csb0="00000001" w:csb1="00000000"/>
  </w:font>
  <w:font w:name="VIC-LightItalic">
    <w:altName w:val="Calibri"/>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FD24" w14:textId="3A775E6B" w:rsidR="000308F9" w:rsidRDefault="000308F9" w:rsidP="004D4616">
    <w:r w:rsidRPr="000308F9">
      <w:rPr>
        <w:lang w:val="en-AU"/>
      </w:rPr>
      <w:fldChar w:fldCharType="begin"/>
    </w:r>
    <w:r w:rsidRPr="000308F9">
      <w:rPr>
        <w:lang w:val="en-AU"/>
      </w:rPr>
      <w:instrText xml:space="preserve"> PAGE   \* MERGEFORMAT </w:instrText>
    </w:r>
    <w:r w:rsidRPr="000308F9">
      <w:rPr>
        <w:lang w:val="en-AU"/>
      </w:rPr>
      <w:fldChar w:fldCharType="separate"/>
    </w:r>
    <w:r w:rsidRPr="000308F9">
      <w:rPr>
        <w:noProof/>
        <w:lang w:val="en-AU"/>
      </w:rPr>
      <w:t>1</w:t>
    </w:r>
    <w:r w:rsidRPr="000308F9">
      <w:rPr>
        <w:noProof/>
        <w:lang w:val="en-AU"/>
      </w:rPr>
      <w:fldChar w:fldCharType="end"/>
    </w:r>
    <w:r w:rsidR="00E52A77">
      <w:rPr>
        <w:noProof/>
        <w:lang w:val="en-AU"/>
      </w:rPr>
      <w:tab/>
    </w:r>
    <w:r w:rsidR="00E52A77">
      <w:rPr>
        <w:noProof/>
        <w:lang w:val="en-AU"/>
      </w:rPr>
      <w:tab/>
    </w:r>
    <w:r>
      <w:rPr>
        <w:lang w:val="en-AU"/>
      </w:rPr>
      <w:t xml:space="preserve">Victorian Building Authority </w:t>
    </w:r>
    <w:r>
      <w:rPr>
        <w:rFonts w:ascii="VIC-SemiBold" w:hAnsi="VIC-SemiBold" w:cs="VIC-SemiBold"/>
        <w:b/>
        <w:bCs/>
        <w:lang w:val="en-AU"/>
      </w:rPr>
      <w:t>Regulatory Policy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9B9B" w14:textId="77777777" w:rsidR="00EF77FD" w:rsidRDefault="00EF77FD" w:rsidP="000308F9">
      <w:r>
        <w:separator/>
      </w:r>
    </w:p>
  </w:footnote>
  <w:footnote w:type="continuationSeparator" w:id="0">
    <w:p w14:paraId="03AAD0A7" w14:textId="77777777" w:rsidR="00EF77FD" w:rsidRDefault="00EF77FD" w:rsidP="0003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0DF"/>
    <w:multiLevelType w:val="hybridMultilevel"/>
    <w:tmpl w:val="4BDC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91265"/>
    <w:multiLevelType w:val="hybridMultilevel"/>
    <w:tmpl w:val="D2AE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C17AC"/>
    <w:multiLevelType w:val="hybridMultilevel"/>
    <w:tmpl w:val="B4BE84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3FAD"/>
    <w:multiLevelType w:val="hybridMultilevel"/>
    <w:tmpl w:val="029A0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40D"/>
    <w:multiLevelType w:val="hybridMultilevel"/>
    <w:tmpl w:val="0944D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F0AC9"/>
    <w:multiLevelType w:val="hybridMultilevel"/>
    <w:tmpl w:val="EB387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B21B9"/>
    <w:multiLevelType w:val="hybridMultilevel"/>
    <w:tmpl w:val="CD7C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B10C0"/>
    <w:multiLevelType w:val="hybridMultilevel"/>
    <w:tmpl w:val="968605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26765"/>
    <w:multiLevelType w:val="hybridMultilevel"/>
    <w:tmpl w:val="A09A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849EA"/>
    <w:multiLevelType w:val="hybridMultilevel"/>
    <w:tmpl w:val="BFA4A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66663"/>
    <w:multiLevelType w:val="hybridMultilevel"/>
    <w:tmpl w:val="78CC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85C9F"/>
    <w:multiLevelType w:val="hybridMultilevel"/>
    <w:tmpl w:val="12884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81B5B"/>
    <w:multiLevelType w:val="hybridMultilevel"/>
    <w:tmpl w:val="57C6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D63630"/>
    <w:multiLevelType w:val="hybridMultilevel"/>
    <w:tmpl w:val="0BD8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42490"/>
    <w:multiLevelType w:val="hybridMultilevel"/>
    <w:tmpl w:val="B97671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1462D"/>
    <w:multiLevelType w:val="hybridMultilevel"/>
    <w:tmpl w:val="F33C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618BD"/>
    <w:multiLevelType w:val="hybridMultilevel"/>
    <w:tmpl w:val="5D4460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D41B9"/>
    <w:multiLevelType w:val="hybridMultilevel"/>
    <w:tmpl w:val="12B043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9209D"/>
    <w:multiLevelType w:val="hybridMultilevel"/>
    <w:tmpl w:val="BC2A44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C1C00"/>
    <w:multiLevelType w:val="hybridMultilevel"/>
    <w:tmpl w:val="CC660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3C09EA"/>
    <w:multiLevelType w:val="hybridMultilevel"/>
    <w:tmpl w:val="31D0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8A661D"/>
    <w:multiLevelType w:val="hybridMultilevel"/>
    <w:tmpl w:val="52760190"/>
    <w:lvl w:ilvl="0" w:tplc="0C090001">
      <w:start w:val="1"/>
      <w:numFmt w:val="bullet"/>
      <w:lvlText w:val=""/>
      <w:lvlJc w:val="left"/>
      <w:pPr>
        <w:ind w:left="720" w:hanging="360"/>
      </w:pPr>
      <w:rPr>
        <w:rFonts w:ascii="Symbol" w:hAnsi="Symbol" w:hint="default"/>
      </w:rPr>
    </w:lvl>
    <w:lvl w:ilvl="1" w:tplc="6D9A347A">
      <w:numFmt w:val="bullet"/>
      <w:lvlText w:val="•"/>
      <w:lvlJc w:val="left"/>
      <w:pPr>
        <w:ind w:left="1440" w:hanging="360"/>
      </w:pPr>
      <w:rPr>
        <w:rFonts w:ascii="VIC-Light" w:eastAsiaTheme="minorHAnsi" w:hAnsi="VIC-Light" w:cs="VIC-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A617AF"/>
    <w:multiLevelType w:val="hybridMultilevel"/>
    <w:tmpl w:val="7414A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0701E"/>
    <w:multiLevelType w:val="hybridMultilevel"/>
    <w:tmpl w:val="DE5E7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D217D"/>
    <w:multiLevelType w:val="hybridMultilevel"/>
    <w:tmpl w:val="E462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9B4B5F"/>
    <w:multiLevelType w:val="hybridMultilevel"/>
    <w:tmpl w:val="91D66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332B3"/>
    <w:multiLevelType w:val="hybridMultilevel"/>
    <w:tmpl w:val="A6D4B6F4"/>
    <w:lvl w:ilvl="0" w:tplc="0C090001">
      <w:start w:val="1"/>
      <w:numFmt w:val="bullet"/>
      <w:lvlText w:val=""/>
      <w:lvlJc w:val="left"/>
      <w:pPr>
        <w:ind w:left="720" w:hanging="360"/>
      </w:pPr>
      <w:rPr>
        <w:rFonts w:ascii="Symbol" w:hAnsi="Symbol" w:hint="default"/>
      </w:rPr>
    </w:lvl>
    <w:lvl w:ilvl="1" w:tplc="519E8204">
      <w:numFmt w:val="bullet"/>
      <w:lvlText w:val="•"/>
      <w:lvlJc w:val="left"/>
      <w:pPr>
        <w:ind w:left="1440" w:hanging="360"/>
      </w:pPr>
      <w:rPr>
        <w:rFonts w:ascii="VIC-Light" w:eastAsiaTheme="minorHAnsi" w:hAnsi="VIC-Light" w:cs="VIC-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24387"/>
    <w:multiLevelType w:val="hybridMultilevel"/>
    <w:tmpl w:val="8542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B11DA"/>
    <w:multiLevelType w:val="hybridMultilevel"/>
    <w:tmpl w:val="F89A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BA516D"/>
    <w:multiLevelType w:val="hybridMultilevel"/>
    <w:tmpl w:val="387C7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E7DD0"/>
    <w:multiLevelType w:val="hybridMultilevel"/>
    <w:tmpl w:val="B028A4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F33A7"/>
    <w:multiLevelType w:val="hybridMultilevel"/>
    <w:tmpl w:val="A80EA7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2C87"/>
    <w:multiLevelType w:val="hybridMultilevel"/>
    <w:tmpl w:val="F12E2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3E6EF6"/>
    <w:multiLevelType w:val="hybridMultilevel"/>
    <w:tmpl w:val="88B29C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F3B08"/>
    <w:multiLevelType w:val="hybridMultilevel"/>
    <w:tmpl w:val="9FE486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378BD"/>
    <w:multiLevelType w:val="hybridMultilevel"/>
    <w:tmpl w:val="8E78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E35C19"/>
    <w:multiLevelType w:val="hybridMultilevel"/>
    <w:tmpl w:val="E68C4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A3F09"/>
    <w:multiLevelType w:val="hybridMultilevel"/>
    <w:tmpl w:val="DEDAD7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976AB"/>
    <w:multiLevelType w:val="hybridMultilevel"/>
    <w:tmpl w:val="B22CC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874F2"/>
    <w:multiLevelType w:val="hybridMultilevel"/>
    <w:tmpl w:val="582E7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F06CD"/>
    <w:multiLevelType w:val="hybridMultilevel"/>
    <w:tmpl w:val="3F0068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892807">
    <w:abstractNumId w:val="28"/>
  </w:num>
  <w:num w:numId="2" w16cid:durableId="1003237464">
    <w:abstractNumId w:val="21"/>
  </w:num>
  <w:num w:numId="3" w16cid:durableId="1545673074">
    <w:abstractNumId w:val="26"/>
  </w:num>
  <w:num w:numId="4" w16cid:durableId="1171725472">
    <w:abstractNumId w:val="27"/>
  </w:num>
  <w:num w:numId="5" w16cid:durableId="1649938653">
    <w:abstractNumId w:val="11"/>
  </w:num>
  <w:num w:numId="6" w16cid:durableId="291517520">
    <w:abstractNumId w:val="6"/>
  </w:num>
  <w:num w:numId="7" w16cid:durableId="12806768">
    <w:abstractNumId w:val="12"/>
  </w:num>
  <w:num w:numId="8" w16cid:durableId="1547520685">
    <w:abstractNumId w:val="5"/>
  </w:num>
  <w:num w:numId="9" w16cid:durableId="32771716">
    <w:abstractNumId w:val="1"/>
  </w:num>
  <w:num w:numId="10" w16cid:durableId="650404580">
    <w:abstractNumId w:val="4"/>
  </w:num>
  <w:num w:numId="11" w16cid:durableId="1394085374">
    <w:abstractNumId w:val="38"/>
  </w:num>
  <w:num w:numId="12" w16cid:durableId="1161850801">
    <w:abstractNumId w:val="10"/>
  </w:num>
  <w:num w:numId="13" w16cid:durableId="1037319409">
    <w:abstractNumId w:val="13"/>
  </w:num>
  <w:num w:numId="14" w16cid:durableId="750200696">
    <w:abstractNumId w:val="29"/>
  </w:num>
  <w:num w:numId="15" w16cid:durableId="263420715">
    <w:abstractNumId w:val="0"/>
  </w:num>
  <w:num w:numId="16" w16cid:durableId="982539004">
    <w:abstractNumId w:val="19"/>
  </w:num>
  <w:num w:numId="17" w16cid:durableId="1117412554">
    <w:abstractNumId w:val="35"/>
  </w:num>
  <w:num w:numId="18" w16cid:durableId="1421638948">
    <w:abstractNumId w:val="9"/>
  </w:num>
  <w:num w:numId="19" w16cid:durableId="454059258">
    <w:abstractNumId w:val="8"/>
  </w:num>
  <w:num w:numId="20" w16cid:durableId="484472275">
    <w:abstractNumId w:val="39"/>
  </w:num>
  <w:num w:numId="21" w16cid:durableId="571038154">
    <w:abstractNumId w:val="24"/>
  </w:num>
  <w:num w:numId="22" w16cid:durableId="410930532">
    <w:abstractNumId w:val="20"/>
  </w:num>
  <w:num w:numId="23" w16cid:durableId="65420990">
    <w:abstractNumId w:val="15"/>
  </w:num>
  <w:num w:numId="24" w16cid:durableId="1037776457">
    <w:abstractNumId w:val="22"/>
  </w:num>
  <w:num w:numId="25" w16cid:durableId="1853638742">
    <w:abstractNumId w:val="23"/>
  </w:num>
  <w:num w:numId="26" w16cid:durableId="622812969">
    <w:abstractNumId w:val="32"/>
  </w:num>
  <w:num w:numId="27" w16cid:durableId="1757052124">
    <w:abstractNumId w:val="25"/>
  </w:num>
  <w:num w:numId="28" w16cid:durableId="1486818333">
    <w:abstractNumId w:val="34"/>
  </w:num>
  <w:num w:numId="29" w16cid:durableId="1427001648">
    <w:abstractNumId w:val="30"/>
  </w:num>
  <w:num w:numId="30" w16cid:durableId="1061368820">
    <w:abstractNumId w:val="18"/>
  </w:num>
  <w:num w:numId="31" w16cid:durableId="779301971">
    <w:abstractNumId w:val="7"/>
  </w:num>
  <w:num w:numId="32" w16cid:durableId="1558126882">
    <w:abstractNumId w:val="17"/>
  </w:num>
  <w:num w:numId="33" w16cid:durableId="1788886613">
    <w:abstractNumId w:val="3"/>
  </w:num>
  <w:num w:numId="34" w16cid:durableId="573391311">
    <w:abstractNumId w:val="31"/>
  </w:num>
  <w:num w:numId="35" w16cid:durableId="980579430">
    <w:abstractNumId w:val="16"/>
  </w:num>
  <w:num w:numId="36" w16cid:durableId="706638194">
    <w:abstractNumId w:val="37"/>
  </w:num>
  <w:num w:numId="37" w16cid:durableId="1756708837">
    <w:abstractNumId w:val="40"/>
  </w:num>
  <w:num w:numId="38" w16cid:durableId="942615663">
    <w:abstractNumId w:val="33"/>
  </w:num>
  <w:num w:numId="39" w16cid:durableId="586772207">
    <w:abstractNumId w:val="2"/>
  </w:num>
  <w:num w:numId="40" w16cid:durableId="1043213199">
    <w:abstractNumId w:val="14"/>
  </w:num>
  <w:num w:numId="41" w16cid:durableId="21440799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F9"/>
    <w:rsid w:val="000308F9"/>
    <w:rsid w:val="0006035C"/>
    <w:rsid w:val="000F1262"/>
    <w:rsid w:val="00185CC1"/>
    <w:rsid w:val="001A5DA6"/>
    <w:rsid w:val="002843C2"/>
    <w:rsid w:val="003C3808"/>
    <w:rsid w:val="00412D97"/>
    <w:rsid w:val="004173E3"/>
    <w:rsid w:val="004A442C"/>
    <w:rsid w:val="004D4616"/>
    <w:rsid w:val="00547439"/>
    <w:rsid w:val="005B59F5"/>
    <w:rsid w:val="005D2EC5"/>
    <w:rsid w:val="00634634"/>
    <w:rsid w:val="00684CE7"/>
    <w:rsid w:val="006935C2"/>
    <w:rsid w:val="007735E4"/>
    <w:rsid w:val="0082799C"/>
    <w:rsid w:val="008B0EF8"/>
    <w:rsid w:val="00960421"/>
    <w:rsid w:val="00A439AD"/>
    <w:rsid w:val="00A84407"/>
    <w:rsid w:val="00B25726"/>
    <w:rsid w:val="00C15022"/>
    <w:rsid w:val="00D13D6C"/>
    <w:rsid w:val="00DA74DB"/>
    <w:rsid w:val="00E52A77"/>
    <w:rsid w:val="00EA3B02"/>
    <w:rsid w:val="00EF3BEC"/>
    <w:rsid w:val="00EF77FD"/>
    <w:rsid w:val="00F66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944ED"/>
  <w15:chartTrackingRefBased/>
  <w15:docId w15:val="{50D708E1-7352-4C4E-B1ED-938A7EA3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6"/>
    <w:pPr>
      <w:widowControl w:val="0"/>
      <w:autoSpaceDE w:val="0"/>
      <w:autoSpaceDN w:val="0"/>
      <w:spacing w:after="0" w:line="240" w:lineRule="auto"/>
    </w:pPr>
    <w:rPr>
      <w:rFonts w:ascii="Arial" w:eastAsia="Trebuchet MS" w:hAnsi="Arial" w:cs="Trebuchet MS"/>
      <w:color w:val="000000" w:themeColor="background1"/>
      <w:lang w:val="en-US"/>
    </w:rPr>
  </w:style>
  <w:style w:type="paragraph" w:styleId="Heading1">
    <w:name w:val="heading 1"/>
    <w:basedOn w:val="Normal"/>
    <w:next w:val="Normal"/>
    <w:link w:val="Heading1Char"/>
    <w:uiPriority w:val="9"/>
    <w:qFormat/>
    <w:rsid w:val="004D4616"/>
    <w:pPr>
      <w:keepNext/>
      <w:keepLines/>
      <w:widowControl/>
      <w:autoSpaceDE/>
      <w:autoSpaceDN/>
      <w:spacing w:before="240" w:line="259" w:lineRule="auto"/>
      <w:outlineLvl w:val="0"/>
    </w:pPr>
    <w:rPr>
      <w:rFonts w:eastAsiaTheme="majorEastAsia" w:cstheme="majorBidi"/>
      <w:b/>
      <w:sz w:val="72"/>
      <w:szCs w:val="32"/>
      <w:lang w:val="en-AU"/>
    </w:rPr>
  </w:style>
  <w:style w:type="paragraph" w:styleId="Heading2">
    <w:name w:val="heading 2"/>
    <w:basedOn w:val="Normal"/>
    <w:next w:val="Normal"/>
    <w:link w:val="Heading2Char"/>
    <w:uiPriority w:val="9"/>
    <w:unhideWhenUsed/>
    <w:qFormat/>
    <w:rsid w:val="004D4616"/>
    <w:pPr>
      <w:keepNext/>
      <w:keepLines/>
      <w:widowControl/>
      <w:autoSpaceDE/>
      <w:autoSpaceDN/>
      <w:spacing w:before="40" w:line="259" w:lineRule="auto"/>
      <w:outlineLvl w:val="1"/>
    </w:pPr>
    <w:rPr>
      <w:rFonts w:eastAsiaTheme="majorEastAsia" w:cstheme="majorBidi"/>
      <w:b/>
      <w:sz w:val="40"/>
      <w:szCs w:val="26"/>
      <w:lang w:val="en-AU"/>
    </w:rPr>
  </w:style>
  <w:style w:type="paragraph" w:styleId="Heading3">
    <w:name w:val="heading 3"/>
    <w:basedOn w:val="Normal"/>
    <w:next w:val="Normal"/>
    <w:link w:val="Heading3Char"/>
    <w:uiPriority w:val="9"/>
    <w:unhideWhenUsed/>
    <w:qFormat/>
    <w:rsid w:val="004D4616"/>
    <w:pPr>
      <w:keepNext/>
      <w:keepLines/>
      <w:widowControl/>
      <w:autoSpaceDE/>
      <w:autoSpaceDN/>
      <w:spacing w:before="40" w:line="259" w:lineRule="auto"/>
      <w:outlineLvl w:val="2"/>
    </w:pPr>
    <w:rPr>
      <w:rFonts w:eastAsiaTheme="majorEastAsia" w:cstheme="majorBidi"/>
      <w:sz w:val="28"/>
      <w:szCs w:val="24"/>
      <w:lang w:val="en-AU"/>
    </w:rPr>
  </w:style>
  <w:style w:type="paragraph" w:styleId="Heading4">
    <w:name w:val="heading 4"/>
    <w:basedOn w:val="Normal"/>
    <w:next w:val="Normal"/>
    <w:link w:val="Heading4Char"/>
    <w:uiPriority w:val="9"/>
    <w:unhideWhenUsed/>
    <w:qFormat/>
    <w:rsid w:val="004D4616"/>
    <w:pPr>
      <w:keepNext/>
      <w:keepLines/>
      <w:spacing w:before="40"/>
      <w:outlineLvl w:val="3"/>
    </w:pPr>
    <w:rPr>
      <w:rFonts w:asciiTheme="majorHAnsi" w:eastAsiaTheme="majorEastAsia" w:hAnsiTheme="majorHAnsi" w:cstheme="majorBidi"/>
      <w:i/>
      <w:iCs/>
      <w:color w:val="002A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616"/>
    <w:rPr>
      <w:rFonts w:ascii="Arial" w:eastAsiaTheme="majorEastAsia" w:hAnsi="Arial" w:cstheme="majorBidi"/>
      <w:b/>
      <w:color w:val="000000" w:themeColor="background1"/>
      <w:sz w:val="72"/>
      <w:szCs w:val="32"/>
    </w:rPr>
  </w:style>
  <w:style w:type="character" w:customStyle="1" w:styleId="Heading2Char">
    <w:name w:val="Heading 2 Char"/>
    <w:basedOn w:val="DefaultParagraphFont"/>
    <w:link w:val="Heading2"/>
    <w:uiPriority w:val="9"/>
    <w:rsid w:val="004D4616"/>
    <w:rPr>
      <w:rFonts w:ascii="Arial" w:eastAsiaTheme="majorEastAsia" w:hAnsi="Arial" w:cstheme="majorBidi"/>
      <w:b/>
      <w:color w:val="000000" w:themeColor="background1"/>
      <w:sz w:val="40"/>
      <w:szCs w:val="26"/>
    </w:rPr>
  </w:style>
  <w:style w:type="character" w:styleId="Strong">
    <w:name w:val="Strong"/>
    <w:basedOn w:val="DefaultParagraphFont"/>
    <w:uiPriority w:val="22"/>
    <w:qFormat/>
    <w:rsid w:val="00547439"/>
    <w:rPr>
      <w:rFonts w:ascii="Arial" w:hAnsi="Arial"/>
      <w:b/>
      <w:bCs/>
      <w:color w:val="000000"/>
      <w:sz w:val="20"/>
    </w:rPr>
  </w:style>
  <w:style w:type="paragraph" w:styleId="Title">
    <w:name w:val="Title"/>
    <w:basedOn w:val="Normal"/>
    <w:next w:val="Normal"/>
    <w:link w:val="TitleChar"/>
    <w:uiPriority w:val="10"/>
    <w:qFormat/>
    <w:rsid w:val="00547439"/>
    <w:pPr>
      <w:widowControl/>
      <w:autoSpaceDE/>
      <w:autoSpaceDN/>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54743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47439"/>
    <w:rPr>
      <w:i/>
      <w:iCs/>
    </w:rPr>
  </w:style>
  <w:style w:type="character" w:customStyle="1" w:styleId="Heading3Char">
    <w:name w:val="Heading 3 Char"/>
    <w:basedOn w:val="DefaultParagraphFont"/>
    <w:link w:val="Heading3"/>
    <w:uiPriority w:val="9"/>
    <w:rsid w:val="004D4616"/>
    <w:rPr>
      <w:rFonts w:ascii="Arial" w:eastAsiaTheme="majorEastAsia" w:hAnsi="Arial" w:cstheme="majorBidi"/>
      <w:color w:val="000000" w:themeColor="background1"/>
      <w:sz w:val="28"/>
      <w:szCs w:val="24"/>
    </w:rPr>
  </w:style>
  <w:style w:type="paragraph" w:styleId="ListParagraph">
    <w:name w:val="List Paragraph"/>
    <w:basedOn w:val="Normal"/>
    <w:uiPriority w:val="34"/>
    <w:qFormat/>
    <w:rsid w:val="000308F9"/>
    <w:pPr>
      <w:ind w:left="720"/>
      <w:contextualSpacing/>
    </w:pPr>
  </w:style>
  <w:style w:type="paragraph" w:styleId="Header">
    <w:name w:val="header"/>
    <w:basedOn w:val="Normal"/>
    <w:link w:val="HeaderChar"/>
    <w:uiPriority w:val="99"/>
    <w:unhideWhenUsed/>
    <w:rsid w:val="000308F9"/>
    <w:pPr>
      <w:tabs>
        <w:tab w:val="center" w:pos="4513"/>
        <w:tab w:val="right" w:pos="9026"/>
      </w:tabs>
    </w:pPr>
  </w:style>
  <w:style w:type="character" w:customStyle="1" w:styleId="HeaderChar">
    <w:name w:val="Header Char"/>
    <w:basedOn w:val="DefaultParagraphFont"/>
    <w:link w:val="Header"/>
    <w:uiPriority w:val="99"/>
    <w:rsid w:val="000308F9"/>
    <w:rPr>
      <w:rFonts w:ascii="Trebuchet MS" w:eastAsia="Trebuchet MS" w:hAnsi="Trebuchet MS" w:cs="Trebuchet MS"/>
      <w:lang w:val="en-US"/>
    </w:rPr>
  </w:style>
  <w:style w:type="paragraph" w:styleId="Footer">
    <w:name w:val="footer"/>
    <w:basedOn w:val="Normal"/>
    <w:link w:val="FooterChar"/>
    <w:uiPriority w:val="99"/>
    <w:unhideWhenUsed/>
    <w:rsid w:val="000308F9"/>
    <w:pPr>
      <w:tabs>
        <w:tab w:val="center" w:pos="4513"/>
        <w:tab w:val="right" w:pos="9026"/>
      </w:tabs>
    </w:pPr>
  </w:style>
  <w:style w:type="character" w:customStyle="1" w:styleId="FooterChar">
    <w:name w:val="Footer Char"/>
    <w:basedOn w:val="DefaultParagraphFont"/>
    <w:link w:val="Footer"/>
    <w:uiPriority w:val="99"/>
    <w:rsid w:val="000308F9"/>
    <w:rPr>
      <w:rFonts w:ascii="Trebuchet MS" w:eastAsia="Trebuchet MS" w:hAnsi="Trebuchet MS" w:cs="Trebuchet MS"/>
      <w:lang w:val="en-US"/>
    </w:rPr>
  </w:style>
  <w:style w:type="paragraph" w:styleId="NoSpacing">
    <w:name w:val="No Spacing"/>
    <w:uiPriority w:val="1"/>
    <w:qFormat/>
    <w:rsid w:val="004D4616"/>
    <w:pPr>
      <w:widowControl w:val="0"/>
      <w:autoSpaceDE w:val="0"/>
      <w:autoSpaceDN w:val="0"/>
      <w:spacing w:after="0" w:line="240" w:lineRule="auto"/>
    </w:pPr>
    <w:rPr>
      <w:rFonts w:ascii="Arial" w:eastAsia="Trebuchet MS" w:hAnsi="Arial" w:cs="Trebuchet MS"/>
      <w:lang w:val="en-US"/>
    </w:rPr>
  </w:style>
  <w:style w:type="character" w:customStyle="1" w:styleId="Heading4Char">
    <w:name w:val="Heading 4 Char"/>
    <w:basedOn w:val="DefaultParagraphFont"/>
    <w:link w:val="Heading4"/>
    <w:uiPriority w:val="9"/>
    <w:rsid w:val="004D4616"/>
    <w:rPr>
      <w:rFonts w:asciiTheme="majorHAnsi" w:eastAsiaTheme="majorEastAsia" w:hAnsiTheme="majorHAnsi" w:cstheme="majorBidi"/>
      <w:i/>
      <w:iCs/>
      <w:color w:val="002A4A"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Vision27">
      <a:dk1>
        <a:srgbClr val="003963"/>
      </a:dk1>
      <a:lt1>
        <a:srgbClr val="000000"/>
      </a:lt1>
      <a:dk2>
        <a:srgbClr val="005F83"/>
      </a:dk2>
      <a:lt2>
        <a:srgbClr val="434549"/>
      </a:lt2>
      <a:accent1>
        <a:srgbClr val="003963"/>
      </a:accent1>
      <a:accent2>
        <a:srgbClr val="005F83"/>
      </a:accent2>
      <a:accent3>
        <a:srgbClr val="0098FF"/>
      </a:accent3>
      <a:accent4>
        <a:srgbClr val="000000"/>
      </a:accent4>
      <a:accent5>
        <a:srgbClr val="434549"/>
      </a:accent5>
      <a:accent6>
        <a:srgbClr val="FFFFFF"/>
      </a:accent6>
      <a:hlink>
        <a:srgbClr val="003963"/>
      </a:hlink>
      <a:folHlink>
        <a:srgbClr val="005F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510109-c2a7-49a6-936d-e09b5848f185" xsi:nil="true"/>
    <lcf76f155ced4ddcb4097134ff3c332f xmlns="925067af-72e3-4e52-8cd6-73b7ecb32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FE60427F8F740978AC06F30000564" ma:contentTypeVersion="17" ma:contentTypeDescription="Create a new document." ma:contentTypeScope="" ma:versionID="343d3b602d78614866551a785d5eaa9f">
  <xsd:schema xmlns:xsd="http://www.w3.org/2001/XMLSchema" xmlns:xs="http://www.w3.org/2001/XMLSchema" xmlns:p="http://schemas.microsoft.com/office/2006/metadata/properties" xmlns:ns2="925067af-72e3-4e52-8cd6-73b7ecb32319" xmlns:ns3="85510109-c2a7-49a6-936d-e09b5848f185" targetNamespace="http://schemas.microsoft.com/office/2006/metadata/properties" ma:root="true" ma:fieldsID="c468662e5eac4dd7c760989906a59b81" ns2:_="" ns3:_="">
    <xsd:import namespace="925067af-72e3-4e52-8cd6-73b7ecb32319"/>
    <xsd:import namespace="85510109-c2a7-49a6-936d-e09b5848f1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067af-72e3-4e52-8cd6-73b7ecb32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10109-c2a7-49a6-936d-e09b5848f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a3476-4e56-4d0d-b247-a609564f22b9}" ma:internalName="TaxCatchAll" ma:showField="CatchAllData" ma:web="85510109-c2a7-49a6-936d-e09b5848f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9C85-DD93-4582-8CD4-99AFA8ED1E8A}">
  <ds:schemaRefs>
    <ds:schemaRef ds:uri="http://schemas.microsoft.com/office/2006/metadata/properties"/>
    <ds:schemaRef ds:uri="http://schemas.microsoft.com/office/infopath/2007/PartnerControls"/>
    <ds:schemaRef ds:uri="85510109-c2a7-49a6-936d-e09b5848f185"/>
    <ds:schemaRef ds:uri="925067af-72e3-4e52-8cd6-73b7ecb32319"/>
  </ds:schemaRefs>
</ds:datastoreItem>
</file>

<file path=customXml/itemProps2.xml><?xml version="1.0" encoding="utf-8"?>
<ds:datastoreItem xmlns:ds="http://schemas.openxmlformats.org/officeDocument/2006/customXml" ds:itemID="{00E8E45A-39E2-4160-94F2-7F3E22859B99}">
  <ds:schemaRefs>
    <ds:schemaRef ds:uri="http://schemas.microsoft.com/sharepoint/v3/contenttype/forms"/>
  </ds:schemaRefs>
</ds:datastoreItem>
</file>

<file path=customXml/itemProps3.xml><?xml version="1.0" encoding="utf-8"?>
<ds:datastoreItem xmlns:ds="http://schemas.openxmlformats.org/officeDocument/2006/customXml" ds:itemID="{4420B36B-0AAC-4A4E-BDD6-D75EA797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067af-72e3-4e52-8cd6-73b7ecb32319"/>
    <ds:schemaRef ds:uri="85510109-c2a7-49a6-936d-e09b5848f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79B7B-572C-4240-88F5-A6BE1FEF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23</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Lugg</dc:creator>
  <cp:keywords/>
  <dc:description/>
  <cp:lastModifiedBy>Simone Lugg</cp:lastModifiedBy>
  <cp:revision>13</cp:revision>
  <dcterms:created xsi:type="dcterms:W3CDTF">2023-11-02T04:14:00Z</dcterms:created>
  <dcterms:modified xsi:type="dcterms:W3CDTF">2023-11-20T01:14:00Z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0x010100008FE60427F8F740978AC06F30000564</vt:lpwstr>
  </property>
  <property fmtid="{D5CDD505-2E9C-101B-9397-08002B2CF9AE}" pid="3" name="MediaServiceImageTags">
    <vt:lpwstr/>
  </property>
</Properties>
</file>